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3CFA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360" w:lineRule="auto"/>
        <w:ind w:right="376"/>
        <w:jc w:val="both"/>
        <w:rPr>
          <w:rFonts w:hint="eastAsia" w:ascii="宋体" w:hAnsi="宋体" w:eastAsia="宋体" w:cs="宋体"/>
          <w:sz w:val="24"/>
          <w:szCs w:val="24"/>
          <w:highlight w:val="none"/>
          <w:shd w:val="clear" w:fill="FFFF00"/>
          <w:lang w:eastAsia="zh-CN"/>
        </w:rPr>
      </w:pPr>
      <w:r>
        <w:rPr>
          <w:rFonts w:hint="eastAsia" w:ascii="宋体" w:hAnsi="宋体" w:eastAsia="宋体" w:cs="宋体"/>
          <w:sz w:val="24"/>
          <w:szCs w:val="24"/>
          <w:highlight w:val="none"/>
          <w:shd w:val="clear" w:fill="FFFF00"/>
          <w:lang w:eastAsia="zh-CN"/>
        </w:rPr>
        <w:t>附件：服务内容</w:t>
      </w:r>
      <w:bookmarkStart w:id="0" w:name="_GoBack"/>
      <w:bookmarkEnd w:id="0"/>
    </w:p>
    <w:p w14:paraId="372970A1">
      <w:pPr>
        <w:pStyle w:val="5"/>
        <w:spacing w:line="360" w:lineRule="auto"/>
        <w:jc w:val="left"/>
        <w:rPr>
          <w:highlight w:val="none"/>
        </w:rPr>
      </w:pPr>
      <w:r>
        <w:rPr>
          <w:rFonts w:ascii="宋体" w:hAnsi="宋体" w:eastAsia="宋体" w:cs="宋体"/>
          <w:b/>
          <w:sz w:val="24"/>
          <w:highlight w:val="none"/>
        </w:rPr>
        <w:t>1</w:t>
      </w:r>
      <w:r>
        <w:rPr>
          <w:rFonts w:ascii="宋体" w:hAnsi="宋体" w:eastAsia="宋体" w:cs="宋体"/>
          <w:sz w:val="24"/>
          <w:highlight w:val="none"/>
        </w:rPr>
        <w:t>安全服务方案设计</w:t>
      </w:r>
    </w:p>
    <w:p w14:paraId="032DC567">
      <w:pPr>
        <w:pStyle w:val="5"/>
        <w:spacing w:line="360" w:lineRule="auto"/>
        <w:jc w:val="both"/>
        <w:rPr>
          <w:highlight w:val="none"/>
        </w:rPr>
      </w:pPr>
      <w:r>
        <w:rPr>
          <w:rFonts w:ascii="宋体" w:hAnsi="宋体" w:eastAsia="宋体" w:cs="宋体"/>
          <w:b/>
          <w:sz w:val="24"/>
          <w:highlight w:val="none"/>
        </w:rPr>
        <w:t>1.1</w:t>
      </w:r>
      <w:r>
        <w:rPr>
          <w:rFonts w:ascii="宋体" w:hAnsi="宋体" w:eastAsia="宋体" w:cs="宋体"/>
          <w:sz w:val="24"/>
          <w:highlight w:val="none"/>
        </w:rPr>
        <w:t>服务范围</w:t>
      </w:r>
    </w:p>
    <w:tbl>
      <w:tblPr>
        <w:tblStyle w:val="3"/>
        <w:tblW w:w="9956"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50"/>
        <w:gridCol w:w="3855"/>
        <w:gridCol w:w="992"/>
        <w:gridCol w:w="1535"/>
        <w:gridCol w:w="1877"/>
        <w:gridCol w:w="1047"/>
      </w:tblGrid>
      <w:tr w14:paraId="1DF150B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147" w:hRule="atLeast"/>
        </w:trPr>
        <w:tc>
          <w:tcPr>
            <w:tcW w:w="65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6F62A77D">
            <w:pPr>
              <w:pStyle w:val="5"/>
              <w:spacing w:line="360" w:lineRule="auto"/>
              <w:jc w:val="center"/>
              <w:rPr>
                <w:sz w:val="24"/>
                <w:szCs w:val="24"/>
                <w:highlight w:val="none"/>
              </w:rPr>
            </w:pPr>
            <w:r>
              <w:rPr>
                <w:rFonts w:ascii="宋体" w:hAnsi="宋体" w:eastAsia="宋体" w:cs="宋体"/>
                <w:b/>
                <w:sz w:val="24"/>
                <w:szCs w:val="24"/>
                <w:highlight w:val="none"/>
              </w:rPr>
              <w:t>序号</w:t>
            </w:r>
          </w:p>
        </w:tc>
        <w:tc>
          <w:tcPr>
            <w:tcW w:w="385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3DCFB447">
            <w:pPr>
              <w:pStyle w:val="5"/>
              <w:spacing w:line="360" w:lineRule="auto"/>
              <w:jc w:val="center"/>
              <w:rPr>
                <w:sz w:val="24"/>
                <w:szCs w:val="24"/>
                <w:highlight w:val="none"/>
              </w:rPr>
            </w:pPr>
            <w:r>
              <w:rPr>
                <w:rFonts w:ascii="宋体" w:hAnsi="宋体" w:eastAsia="宋体" w:cs="宋体"/>
                <w:b/>
                <w:sz w:val="24"/>
                <w:szCs w:val="24"/>
                <w:highlight w:val="none"/>
              </w:rPr>
              <w:t>系统名称</w:t>
            </w:r>
          </w:p>
        </w:tc>
        <w:tc>
          <w:tcPr>
            <w:tcW w:w="99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038523E4">
            <w:pPr>
              <w:pStyle w:val="5"/>
              <w:spacing w:line="360" w:lineRule="auto"/>
              <w:jc w:val="center"/>
              <w:rPr>
                <w:sz w:val="24"/>
                <w:szCs w:val="24"/>
                <w:highlight w:val="none"/>
              </w:rPr>
            </w:pPr>
            <w:r>
              <w:rPr>
                <w:rFonts w:ascii="宋体" w:hAnsi="宋体" w:eastAsia="宋体" w:cs="宋体"/>
                <w:b/>
                <w:sz w:val="24"/>
                <w:szCs w:val="24"/>
                <w:highlight w:val="none"/>
              </w:rPr>
              <w:t>服务器数量</w:t>
            </w:r>
          </w:p>
        </w:tc>
        <w:tc>
          <w:tcPr>
            <w:tcW w:w="153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6A7CDE7">
            <w:pPr>
              <w:pStyle w:val="5"/>
              <w:spacing w:line="360" w:lineRule="auto"/>
              <w:jc w:val="center"/>
              <w:rPr>
                <w:sz w:val="24"/>
                <w:szCs w:val="24"/>
                <w:highlight w:val="none"/>
              </w:rPr>
            </w:pPr>
            <w:r>
              <w:rPr>
                <w:rFonts w:ascii="宋体" w:hAnsi="宋体" w:eastAsia="宋体" w:cs="宋体"/>
                <w:b/>
                <w:sz w:val="24"/>
                <w:szCs w:val="24"/>
                <w:highlight w:val="none"/>
              </w:rPr>
              <w:t>所在网络</w:t>
            </w:r>
          </w:p>
        </w:tc>
        <w:tc>
          <w:tcPr>
            <w:tcW w:w="187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140B72F4">
            <w:pPr>
              <w:pStyle w:val="5"/>
              <w:spacing w:line="360" w:lineRule="auto"/>
              <w:jc w:val="center"/>
              <w:rPr>
                <w:sz w:val="24"/>
                <w:szCs w:val="24"/>
                <w:highlight w:val="none"/>
              </w:rPr>
            </w:pPr>
            <w:r>
              <w:rPr>
                <w:rFonts w:ascii="宋体" w:hAnsi="宋体" w:eastAsia="宋体" w:cs="宋体"/>
                <w:b/>
                <w:sz w:val="24"/>
                <w:szCs w:val="24"/>
                <w:highlight w:val="none"/>
              </w:rPr>
              <w:t>物理位置</w:t>
            </w:r>
          </w:p>
        </w:tc>
        <w:tc>
          <w:tcPr>
            <w:tcW w:w="104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1DE8A2B1">
            <w:pPr>
              <w:pStyle w:val="5"/>
              <w:spacing w:line="360" w:lineRule="auto"/>
              <w:jc w:val="center"/>
              <w:rPr>
                <w:sz w:val="24"/>
                <w:szCs w:val="24"/>
                <w:highlight w:val="none"/>
              </w:rPr>
            </w:pPr>
            <w:r>
              <w:rPr>
                <w:rFonts w:ascii="宋体" w:hAnsi="宋体" w:eastAsia="宋体" w:cs="宋体"/>
                <w:b/>
                <w:sz w:val="24"/>
                <w:szCs w:val="24"/>
                <w:highlight w:val="none"/>
              </w:rPr>
              <w:t>等保备案</w:t>
            </w:r>
          </w:p>
        </w:tc>
      </w:tr>
      <w:tr w14:paraId="6C3EAE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5DC2216D">
            <w:pPr>
              <w:pStyle w:val="5"/>
              <w:spacing w:line="360" w:lineRule="auto"/>
              <w:jc w:val="center"/>
              <w:rPr>
                <w:sz w:val="24"/>
                <w:szCs w:val="24"/>
                <w:highlight w:val="none"/>
              </w:rPr>
            </w:pPr>
            <w:r>
              <w:rPr>
                <w:rFonts w:ascii="宋体" w:hAnsi="宋体" w:eastAsia="宋体" w:cs="宋体"/>
                <w:sz w:val="24"/>
                <w:szCs w:val="24"/>
                <w:highlight w:val="none"/>
              </w:rPr>
              <w:t>1</w:t>
            </w:r>
          </w:p>
        </w:tc>
        <w:tc>
          <w:tcPr>
            <w:tcW w:w="38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393DD39B">
            <w:pPr>
              <w:pStyle w:val="5"/>
              <w:spacing w:line="360" w:lineRule="auto"/>
              <w:jc w:val="center"/>
              <w:rPr>
                <w:sz w:val="24"/>
                <w:szCs w:val="24"/>
                <w:highlight w:val="none"/>
              </w:rPr>
            </w:pPr>
            <w:r>
              <w:rPr>
                <w:rFonts w:ascii="宋体" w:hAnsi="宋体" w:eastAsia="宋体" w:cs="宋体"/>
                <w:sz w:val="24"/>
                <w:szCs w:val="24"/>
                <w:highlight w:val="none"/>
              </w:rPr>
              <w:t>福建省森林资源管理系统</w:t>
            </w:r>
          </w:p>
        </w:tc>
        <w:tc>
          <w:tcPr>
            <w:tcW w:w="99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79E27558">
            <w:pPr>
              <w:pStyle w:val="5"/>
              <w:spacing w:line="360" w:lineRule="auto"/>
              <w:jc w:val="center"/>
              <w:rPr>
                <w:sz w:val="24"/>
                <w:szCs w:val="24"/>
                <w:highlight w:val="none"/>
              </w:rPr>
            </w:pPr>
            <w:r>
              <w:rPr>
                <w:rFonts w:ascii="宋体" w:hAnsi="宋体" w:eastAsia="宋体" w:cs="宋体"/>
                <w:sz w:val="24"/>
                <w:szCs w:val="24"/>
                <w:highlight w:val="none"/>
              </w:rPr>
              <w:t>4</w:t>
            </w:r>
          </w:p>
        </w:tc>
        <w:tc>
          <w:tcPr>
            <w:tcW w:w="15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6E781679">
            <w:pPr>
              <w:pStyle w:val="5"/>
              <w:spacing w:line="360" w:lineRule="auto"/>
              <w:jc w:val="center"/>
              <w:rPr>
                <w:sz w:val="24"/>
                <w:szCs w:val="24"/>
                <w:highlight w:val="none"/>
              </w:rPr>
            </w:pPr>
            <w:r>
              <w:rPr>
                <w:rFonts w:ascii="宋体" w:hAnsi="宋体" w:eastAsia="宋体" w:cs="宋体"/>
                <w:sz w:val="24"/>
                <w:szCs w:val="24"/>
                <w:highlight w:val="none"/>
              </w:rPr>
              <w:t>政务信息网</w:t>
            </w:r>
          </w:p>
        </w:tc>
        <w:tc>
          <w:tcPr>
            <w:tcW w:w="187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4DF07E8F">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23514393">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329D97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56CC75F6">
            <w:pPr>
              <w:pStyle w:val="5"/>
              <w:spacing w:line="360" w:lineRule="auto"/>
              <w:jc w:val="center"/>
              <w:rPr>
                <w:sz w:val="24"/>
                <w:szCs w:val="24"/>
                <w:highlight w:val="none"/>
              </w:rPr>
            </w:pPr>
            <w:r>
              <w:rPr>
                <w:rFonts w:ascii="宋体" w:hAnsi="宋体" w:eastAsia="宋体" w:cs="宋体"/>
                <w:sz w:val="24"/>
                <w:szCs w:val="24"/>
                <w:highlight w:val="none"/>
              </w:rPr>
              <w:t>2</w:t>
            </w:r>
          </w:p>
        </w:tc>
        <w:tc>
          <w:tcPr>
            <w:tcW w:w="385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531173D0">
            <w:pPr>
              <w:pStyle w:val="5"/>
              <w:spacing w:line="360" w:lineRule="auto"/>
              <w:jc w:val="center"/>
              <w:rPr>
                <w:sz w:val="24"/>
                <w:szCs w:val="24"/>
                <w:highlight w:val="none"/>
              </w:rPr>
            </w:pPr>
            <w:r>
              <w:rPr>
                <w:rFonts w:ascii="宋体" w:hAnsi="宋体" w:eastAsia="宋体" w:cs="宋体"/>
                <w:sz w:val="24"/>
                <w:szCs w:val="24"/>
                <w:highlight w:val="none"/>
              </w:rPr>
              <w:t>福建省林业网上行政审批系统</w:t>
            </w:r>
          </w:p>
        </w:tc>
        <w:tc>
          <w:tcPr>
            <w:tcW w:w="99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37C2BD8">
            <w:pPr>
              <w:pStyle w:val="5"/>
              <w:spacing w:line="360" w:lineRule="auto"/>
              <w:jc w:val="center"/>
              <w:rPr>
                <w:sz w:val="24"/>
                <w:szCs w:val="24"/>
                <w:highlight w:val="none"/>
              </w:rPr>
            </w:pPr>
            <w:r>
              <w:rPr>
                <w:rFonts w:ascii="宋体" w:hAnsi="宋体" w:eastAsia="宋体" w:cs="宋体"/>
                <w:sz w:val="24"/>
                <w:szCs w:val="24"/>
                <w:highlight w:val="none"/>
              </w:rPr>
              <w:t>4</w:t>
            </w:r>
          </w:p>
        </w:tc>
        <w:tc>
          <w:tcPr>
            <w:tcW w:w="153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10CB614B">
            <w:pPr>
              <w:pStyle w:val="5"/>
              <w:spacing w:line="360" w:lineRule="auto"/>
              <w:jc w:val="center"/>
              <w:rPr>
                <w:sz w:val="24"/>
                <w:szCs w:val="24"/>
                <w:highlight w:val="none"/>
              </w:rPr>
            </w:pPr>
            <w:r>
              <w:rPr>
                <w:rFonts w:ascii="宋体" w:hAnsi="宋体" w:eastAsia="宋体" w:cs="宋体"/>
                <w:sz w:val="24"/>
                <w:szCs w:val="24"/>
                <w:highlight w:val="none"/>
              </w:rPr>
              <w:t>政务信息网</w:t>
            </w:r>
          </w:p>
        </w:tc>
        <w:tc>
          <w:tcPr>
            <w:tcW w:w="187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272464A7">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BB6F3D9">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5D4DB1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3F0063C">
            <w:pPr>
              <w:pStyle w:val="5"/>
              <w:spacing w:line="360" w:lineRule="auto"/>
              <w:jc w:val="center"/>
              <w:rPr>
                <w:sz w:val="24"/>
                <w:szCs w:val="24"/>
                <w:highlight w:val="none"/>
              </w:rPr>
            </w:pPr>
            <w:r>
              <w:rPr>
                <w:rFonts w:ascii="宋体" w:hAnsi="宋体" w:eastAsia="宋体" w:cs="宋体"/>
                <w:sz w:val="24"/>
                <w:szCs w:val="24"/>
                <w:highlight w:val="none"/>
              </w:rPr>
              <w:t>3</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D3FE1C8">
            <w:pPr>
              <w:pStyle w:val="5"/>
              <w:spacing w:line="360" w:lineRule="auto"/>
              <w:jc w:val="center"/>
              <w:rPr>
                <w:sz w:val="24"/>
                <w:szCs w:val="24"/>
                <w:highlight w:val="none"/>
              </w:rPr>
            </w:pPr>
            <w:r>
              <w:rPr>
                <w:rFonts w:ascii="宋体" w:hAnsi="宋体" w:eastAsia="宋体" w:cs="宋体"/>
                <w:sz w:val="24"/>
                <w:szCs w:val="24"/>
                <w:highlight w:val="none"/>
              </w:rPr>
              <w:t>福建省营造林信息管理系统</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7CD3BEE">
            <w:pPr>
              <w:pStyle w:val="5"/>
              <w:spacing w:line="360" w:lineRule="auto"/>
              <w:jc w:val="center"/>
              <w:rPr>
                <w:sz w:val="24"/>
                <w:szCs w:val="24"/>
                <w:highlight w:val="none"/>
              </w:rPr>
            </w:pPr>
            <w:r>
              <w:rPr>
                <w:rFonts w:ascii="宋体" w:hAnsi="宋体" w:eastAsia="宋体" w:cs="宋体"/>
                <w:sz w:val="24"/>
                <w:szCs w:val="24"/>
                <w:highlight w:val="none"/>
              </w:rPr>
              <w:t>4</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8DAAA00">
            <w:pPr>
              <w:pStyle w:val="5"/>
              <w:spacing w:line="360" w:lineRule="auto"/>
              <w:jc w:val="center"/>
              <w:rPr>
                <w:sz w:val="24"/>
                <w:szCs w:val="24"/>
                <w:highlight w:val="none"/>
              </w:rPr>
            </w:pPr>
            <w:r>
              <w:rPr>
                <w:rFonts w:ascii="宋体" w:hAnsi="宋体" w:eastAsia="宋体" w:cs="宋体"/>
                <w:sz w:val="24"/>
                <w:szCs w:val="24"/>
                <w:highlight w:val="none"/>
              </w:rPr>
              <w:t>政务信息网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7497EC8">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2BDB9A2C">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4A151C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1A752E5">
            <w:pPr>
              <w:pStyle w:val="5"/>
              <w:spacing w:line="360" w:lineRule="auto"/>
              <w:jc w:val="center"/>
              <w:rPr>
                <w:sz w:val="24"/>
                <w:szCs w:val="24"/>
                <w:highlight w:val="none"/>
              </w:rPr>
            </w:pPr>
            <w:r>
              <w:rPr>
                <w:rFonts w:ascii="宋体" w:hAnsi="宋体" w:eastAsia="宋体" w:cs="宋体"/>
                <w:sz w:val="24"/>
                <w:szCs w:val="24"/>
                <w:highlight w:val="none"/>
              </w:rPr>
              <w:t>4</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678A655">
            <w:pPr>
              <w:pStyle w:val="5"/>
              <w:spacing w:line="360" w:lineRule="auto"/>
              <w:jc w:val="center"/>
              <w:rPr>
                <w:sz w:val="24"/>
                <w:szCs w:val="24"/>
                <w:highlight w:val="none"/>
              </w:rPr>
            </w:pPr>
            <w:r>
              <w:rPr>
                <w:rFonts w:ascii="宋体" w:hAnsi="宋体" w:eastAsia="宋体" w:cs="宋体"/>
                <w:sz w:val="24"/>
                <w:szCs w:val="24"/>
                <w:highlight w:val="none"/>
              </w:rPr>
              <w:t>福建省林业信息共享服务平台项目</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C77474C">
            <w:pPr>
              <w:pStyle w:val="5"/>
              <w:spacing w:line="360" w:lineRule="auto"/>
              <w:jc w:val="center"/>
              <w:rPr>
                <w:sz w:val="24"/>
                <w:szCs w:val="24"/>
                <w:highlight w:val="none"/>
              </w:rPr>
            </w:pPr>
            <w:r>
              <w:rPr>
                <w:rFonts w:ascii="宋体" w:hAnsi="宋体" w:eastAsia="宋体" w:cs="宋体"/>
                <w:sz w:val="24"/>
                <w:szCs w:val="24"/>
                <w:highlight w:val="none"/>
              </w:rPr>
              <w:t>4</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EA5C7EB">
            <w:pPr>
              <w:pStyle w:val="5"/>
              <w:spacing w:line="360" w:lineRule="auto"/>
              <w:jc w:val="center"/>
              <w:rPr>
                <w:sz w:val="24"/>
                <w:szCs w:val="24"/>
                <w:highlight w:val="none"/>
              </w:rPr>
            </w:pPr>
            <w:r>
              <w:rPr>
                <w:rFonts w:ascii="宋体" w:hAnsi="宋体" w:eastAsia="宋体" w:cs="宋体"/>
                <w:sz w:val="24"/>
                <w:szCs w:val="24"/>
                <w:highlight w:val="none"/>
              </w:rPr>
              <w:t>政务信息网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3470C36">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E648B9A">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71AA1B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019D5895">
            <w:pPr>
              <w:pStyle w:val="5"/>
              <w:spacing w:line="360" w:lineRule="auto"/>
              <w:jc w:val="center"/>
              <w:rPr>
                <w:sz w:val="24"/>
                <w:szCs w:val="24"/>
                <w:highlight w:val="none"/>
              </w:rPr>
            </w:pPr>
            <w:r>
              <w:rPr>
                <w:rFonts w:ascii="宋体" w:hAnsi="宋体" w:eastAsia="宋体" w:cs="宋体"/>
                <w:sz w:val="24"/>
                <w:szCs w:val="24"/>
                <w:highlight w:val="none"/>
              </w:rPr>
              <w:t>5</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0F6F7DE">
            <w:pPr>
              <w:pStyle w:val="5"/>
              <w:spacing w:line="360" w:lineRule="auto"/>
              <w:jc w:val="center"/>
              <w:rPr>
                <w:sz w:val="24"/>
                <w:szCs w:val="24"/>
                <w:highlight w:val="none"/>
              </w:rPr>
            </w:pPr>
            <w:r>
              <w:rPr>
                <w:rFonts w:ascii="宋体" w:hAnsi="宋体" w:eastAsia="宋体" w:cs="宋体"/>
                <w:sz w:val="24"/>
                <w:szCs w:val="24"/>
                <w:highlight w:val="none"/>
              </w:rPr>
              <w:t>福建省林木种质资源普查信息系统</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C67238D">
            <w:pPr>
              <w:pStyle w:val="5"/>
              <w:spacing w:line="360" w:lineRule="auto"/>
              <w:jc w:val="center"/>
              <w:rPr>
                <w:sz w:val="24"/>
                <w:szCs w:val="24"/>
                <w:highlight w:val="none"/>
              </w:rPr>
            </w:pPr>
            <w:r>
              <w:rPr>
                <w:rFonts w:ascii="宋体" w:hAnsi="宋体" w:eastAsia="宋体" w:cs="宋体"/>
                <w:sz w:val="24"/>
                <w:szCs w:val="24"/>
                <w:highlight w:val="none"/>
              </w:rPr>
              <w:t>2</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3C57B9A">
            <w:pPr>
              <w:pStyle w:val="5"/>
              <w:spacing w:line="360" w:lineRule="auto"/>
              <w:jc w:val="center"/>
              <w:rPr>
                <w:sz w:val="24"/>
                <w:szCs w:val="24"/>
                <w:highlight w:val="none"/>
              </w:rPr>
            </w:pPr>
            <w:r>
              <w:rPr>
                <w:rFonts w:ascii="宋体" w:hAnsi="宋体" w:eastAsia="宋体" w:cs="宋体"/>
                <w:sz w:val="24"/>
                <w:szCs w:val="24"/>
                <w:highlight w:val="none"/>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0A55BCCB">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E335804">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251A08D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4999ACD">
            <w:pPr>
              <w:pStyle w:val="5"/>
              <w:spacing w:line="360" w:lineRule="auto"/>
              <w:jc w:val="center"/>
              <w:rPr>
                <w:sz w:val="24"/>
                <w:szCs w:val="24"/>
                <w:highlight w:val="none"/>
              </w:rPr>
            </w:pPr>
            <w:r>
              <w:rPr>
                <w:rFonts w:ascii="宋体" w:hAnsi="宋体" w:eastAsia="宋体" w:cs="宋体"/>
                <w:sz w:val="24"/>
                <w:szCs w:val="24"/>
                <w:highlight w:val="none"/>
              </w:rPr>
              <w:t>6</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01F675E8">
            <w:pPr>
              <w:pStyle w:val="5"/>
              <w:spacing w:line="360" w:lineRule="auto"/>
              <w:jc w:val="center"/>
              <w:rPr>
                <w:sz w:val="24"/>
                <w:szCs w:val="24"/>
                <w:highlight w:val="none"/>
              </w:rPr>
            </w:pPr>
            <w:r>
              <w:rPr>
                <w:rFonts w:ascii="宋体" w:hAnsi="宋体" w:eastAsia="宋体" w:cs="宋体"/>
                <w:sz w:val="24"/>
                <w:szCs w:val="24"/>
                <w:highlight w:val="none"/>
              </w:rPr>
              <w:t>档案管理系统</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074D567F">
            <w:pPr>
              <w:pStyle w:val="5"/>
              <w:spacing w:line="360" w:lineRule="auto"/>
              <w:jc w:val="center"/>
              <w:rPr>
                <w:sz w:val="24"/>
                <w:szCs w:val="24"/>
                <w:highlight w:val="none"/>
              </w:rPr>
            </w:pPr>
            <w:r>
              <w:rPr>
                <w:rFonts w:ascii="宋体" w:hAnsi="宋体" w:eastAsia="宋体" w:cs="宋体"/>
                <w:sz w:val="24"/>
                <w:szCs w:val="24"/>
                <w:highlight w:val="none"/>
              </w:rPr>
              <w:t>1</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4642A7F">
            <w:pPr>
              <w:pStyle w:val="5"/>
              <w:spacing w:line="360" w:lineRule="auto"/>
              <w:jc w:val="center"/>
              <w:rPr>
                <w:sz w:val="24"/>
                <w:szCs w:val="24"/>
                <w:highlight w:val="none"/>
              </w:rPr>
            </w:pPr>
            <w:r>
              <w:rPr>
                <w:rFonts w:ascii="宋体" w:hAnsi="宋体" w:eastAsia="宋体" w:cs="宋体"/>
                <w:sz w:val="24"/>
                <w:szCs w:val="24"/>
                <w:highlight w:val="none"/>
              </w:rPr>
              <w:t>政务信息网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312FDBA">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2B09F992">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48C1BD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C057904">
            <w:pPr>
              <w:pStyle w:val="5"/>
              <w:spacing w:line="360" w:lineRule="auto"/>
              <w:jc w:val="center"/>
              <w:rPr>
                <w:sz w:val="24"/>
                <w:szCs w:val="24"/>
                <w:highlight w:val="none"/>
              </w:rPr>
            </w:pPr>
            <w:r>
              <w:rPr>
                <w:rFonts w:ascii="宋体" w:hAnsi="宋体" w:eastAsia="宋体" w:cs="宋体"/>
                <w:sz w:val="24"/>
                <w:szCs w:val="24"/>
                <w:highlight w:val="none"/>
              </w:rPr>
              <w:t>7</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F45EC96">
            <w:pPr>
              <w:pStyle w:val="5"/>
              <w:spacing w:line="360" w:lineRule="auto"/>
              <w:jc w:val="center"/>
              <w:rPr>
                <w:sz w:val="24"/>
                <w:szCs w:val="24"/>
                <w:highlight w:val="none"/>
              </w:rPr>
            </w:pPr>
            <w:r>
              <w:rPr>
                <w:rFonts w:ascii="宋体" w:hAnsi="宋体" w:eastAsia="宋体" w:cs="宋体"/>
                <w:sz w:val="24"/>
                <w:szCs w:val="24"/>
                <w:highlight w:val="none"/>
              </w:rPr>
              <w:t>国有林场财务管理网络应用系统</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6ED9105">
            <w:pPr>
              <w:pStyle w:val="5"/>
              <w:spacing w:line="360" w:lineRule="auto"/>
              <w:jc w:val="center"/>
              <w:rPr>
                <w:sz w:val="24"/>
                <w:szCs w:val="24"/>
                <w:highlight w:val="none"/>
              </w:rPr>
            </w:pPr>
            <w:r>
              <w:rPr>
                <w:rFonts w:ascii="宋体" w:hAnsi="宋体" w:eastAsia="宋体" w:cs="宋体"/>
                <w:sz w:val="24"/>
                <w:szCs w:val="24"/>
                <w:highlight w:val="none"/>
              </w:rPr>
              <w:t>1</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CFEA2D6">
            <w:pPr>
              <w:pStyle w:val="5"/>
              <w:spacing w:line="360" w:lineRule="auto"/>
              <w:jc w:val="center"/>
              <w:rPr>
                <w:sz w:val="24"/>
                <w:szCs w:val="24"/>
                <w:highlight w:val="none"/>
              </w:rPr>
            </w:pPr>
            <w:r>
              <w:rPr>
                <w:rFonts w:ascii="宋体" w:hAnsi="宋体" w:eastAsia="宋体" w:cs="宋体"/>
                <w:sz w:val="24"/>
                <w:szCs w:val="24"/>
                <w:highlight w:val="none"/>
              </w:rPr>
              <w:t>政务信息网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50F6AF1">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DE0F223">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4C1D3E8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73860EC">
            <w:pPr>
              <w:pStyle w:val="5"/>
              <w:spacing w:line="360" w:lineRule="auto"/>
              <w:jc w:val="center"/>
              <w:rPr>
                <w:sz w:val="24"/>
                <w:szCs w:val="24"/>
                <w:highlight w:val="none"/>
              </w:rPr>
            </w:pPr>
            <w:r>
              <w:rPr>
                <w:rFonts w:ascii="宋体" w:hAnsi="宋体" w:eastAsia="宋体" w:cs="宋体"/>
                <w:sz w:val="24"/>
                <w:szCs w:val="24"/>
                <w:highlight w:val="none"/>
              </w:rPr>
              <w:t>8</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9B4B308">
            <w:pPr>
              <w:pStyle w:val="5"/>
              <w:spacing w:line="360" w:lineRule="auto"/>
              <w:jc w:val="center"/>
              <w:rPr>
                <w:sz w:val="24"/>
                <w:szCs w:val="24"/>
                <w:highlight w:val="none"/>
              </w:rPr>
            </w:pPr>
            <w:r>
              <w:rPr>
                <w:rFonts w:ascii="宋体" w:hAnsi="宋体" w:eastAsia="宋体" w:cs="宋体"/>
                <w:sz w:val="24"/>
                <w:szCs w:val="24"/>
                <w:highlight w:val="none"/>
              </w:rPr>
              <w:t>福建省林业局平时考核系统</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03AF5F0">
            <w:pPr>
              <w:pStyle w:val="5"/>
              <w:spacing w:line="360" w:lineRule="auto"/>
              <w:jc w:val="center"/>
              <w:rPr>
                <w:sz w:val="24"/>
                <w:szCs w:val="24"/>
                <w:highlight w:val="none"/>
              </w:rPr>
            </w:pPr>
            <w:r>
              <w:rPr>
                <w:rFonts w:ascii="宋体" w:hAnsi="宋体" w:eastAsia="宋体" w:cs="宋体"/>
                <w:sz w:val="24"/>
                <w:szCs w:val="24"/>
                <w:highlight w:val="none"/>
              </w:rPr>
              <w:t>2</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0B7B652F">
            <w:pPr>
              <w:pStyle w:val="5"/>
              <w:spacing w:line="360" w:lineRule="auto"/>
              <w:jc w:val="center"/>
              <w:rPr>
                <w:sz w:val="24"/>
                <w:szCs w:val="24"/>
                <w:highlight w:val="none"/>
              </w:rPr>
            </w:pPr>
            <w:r>
              <w:rPr>
                <w:rFonts w:ascii="宋体" w:hAnsi="宋体" w:eastAsia="宋体" w:cs="宋体"/>
                <w:sz w:val="24"/>
                <w:szCs w:val="24"/>
                <w:highlight w:val="none"/>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07204A1">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8185244">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6CF806D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FBC4BF8">
            <w:pPr>
              <w:pStyle w:val="5"/>
              <w:spacing w:line="360" w:lineRule="auto"/>
              <w:jc w:val="center"/>
              <w:rPr>
                <w:sz w:val="24"/>
                <w:szCs w:val="24"/>
                <w:highlight w:val="none"/>
              </w:rPr>
            </w:pPr>
            <w:r>
              <w:rPr>
                <w:rFonts w:ascii="宋体" w:hAnsi="宋体" w:eastAsia="宋体" w:cs="宋体"/>
                <w:sz w:val="24"/>
                <w:szCs w:val="24"/>
                <w:highlight w:val="none"/>
              </w:rPr>
              <w:t>9</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D84EF19">
            <w:pPr>
              <w:pStyle w:val="5"/>
              <w:spacing w:line="360" w:lineRule="auto"/>
              <w:jc w:val="center"/>
              <w:rPr>
                <w:sz w:val="24"/>
                <w:szCs w:val="24"/>
                <w:highlight w:val="none"/>
              </w:rPr>
            </w:pPr>
            <w:r>
              <w:rPr>
                <w:rFonts w:ascii="宋体" w:hAnsi="宋体" w:eastAsia="宋体" w:cs="宋体"/>
                <w:sz w:val="24"/>
                <w:szCs w:val="24"/>
                <w:highlight w:val="none"/>
              </w:rPr>
              <w:t>福建省林业巡护指挥调度云平台</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463C4E5">
            <w:pPr>
              <w:pStyle w:val="5"/>
              <w:spacing w:line="360" w:lineRule="auto"/>
              <w:jc w:val="center"/>
              <w:rPr>
                <w:sz w:val="24"/>
                <w:szCs w:val="24"/>
                <w:highlight w:val="none"/>
              </w:rPr>
            </w:pPr>
            <w:r>
              <w:rPr>
                <w:rFonts w:ascii="宋体" w:hAnsi="宋体" w:eastAsia="宋体" w:cs="宋体"/>
                <w:sz w:val="24"/>
                <w:szCs w:val="24"/>
                <w:highlight w:val="none"/>
              </w:rPr>
              <w:t>6</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ED19A19">
            <w:pPr>
              <w:pStyle w:val="5"/>
              <w:spacing w:line="360" w:lineRule="auto"/>
              <w:jc w:val="center"/>
              <w:rPr>
                <w:sz w:val="24"/>
                <w:szCs w:val="24"/>
                <w:highlight w:val="none"/>
              </w:rPr>
            </w:pPr>
            <w:r>
              <w:rPr>
                <w:rFonts w:ascii="宋体" w:hAnsi="宋体" w:eastAsia="宋体" w:cs="宋体"/>
                <w:sz w:val="24"/>
                <w:szCs w:val="24"/>
                <w:highlight w:val="none"/>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CF8A6A9">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B1BD028">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4ACC6F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412"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01B01CC">
            <w:pPr>
              <w:pStyle w:val="5"/>
              <w:spacing w:line="360" w:lineRule="auto"/>
              <w:jc w:val="center"/>
              <w:rPr>
                <w:sz w:val="24"/>
                <w:szCs w:val="24"/>
                <w:highlight w:val="none"/>
              </w:rPr>
            </w:pPr>
            <w:r>
              <w:rPr>
                <w:rFonts w:ascii="宋体" w:hAnsi="宋体" w:eastAsia="宋体" w:cs="宋体"/>
                <w:sz w:val="24"/>
                <w:szCs w:val="24"/>
                <w:highlight w:val="none"/>
              </w:rPr>
              <w:t>10</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2AE2282">
            <w:pPr>
              <w:pStyle w:val="5"/>
              <w:spacing w:line="360" w:lineRule="auto"/>
              <w:jc w:val="center"/>
              <w:rPr>
                <w:sz w:val="24"/>
                <w:szCs w:val="24"/>
                <w:highlight w:val="none"/>
              </w:rPr>
            </w:pPr>
            <w:r>
              <w:rPr>
                <w:rFonts w:ascii="宋体" w:hAnsi="宋体" w:eastAsia="宋体" w:cs="宋体"/>
                <w:sz w:val="24"/>
                <w:szCs w:val="24"/>
                <w:highlight w:val="none"/>
              </w:rPr>
              <w:t>智慧林业视频监控联网调度系统</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17DC94E">
            <w:pPr>
              <w:pStyle w:val="5"/>
              <w:spacing w:line="360" w:lineRule="auto"/>
              <w:jc w:val="center"/>
              <w:rPr>
                <w:sz w:val="24"/>
                <w:szCs w:val="24"/>
                <w:highlight w:val="none"/>
              </w:rPr>
            </w:pPr>
            <w:r>
              <w:rPr>
                <w:rFonts w:ascii="宋体" w:hAnsi="宋体" w:eastAsia="宋体" w:cs="宋体"/>
                <w:sz w:val="24"/>
                <w:szCs w:val="24"/>
                <w:highlight w:val="none"/>
              </w:rPr>
              <w:t>7</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D1FFA07">
            <w:pPr>
              <w:pStyle w:val="5"/>
              <w:spacing w:line="360" w:lineRule="auto"/>
              <w:jc w:val="center"/>
              <w:rPr>
                <w:sz w:val="24"/>
                <w:szCs w:val="24"/>
                <w:highlight w:val="none"/>
              </w:rPr>
            </w:pPr>
            <w:r>
              <w:rPr>
                <w:rFonts w:ascii="宋体" w:hAnsi="宋体" w:eastAsia="宋体" w:cs="宋体"/>
                <w:sz w:val="24"/>
                <w:szCs w:val="24"/>
                <w:highlight w:val="none"/>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2DD52BD2">
            <w:pPr>
              <w:pStyle w:val="5"/>
              <w:spacing w:line="360" w:lineRule="auto"/>
              <w:jc w:val="center"/>
              <w:rPr>
                <w:sz w:val="24"/>
                <w:szCs w:val="24"/>
                <w:highlight w:val="none"/>
              </w:rPr>
            </w:pPr>
            <w:r>
              <w:rPr>
                <w:rFonts w:ascii="宋体" w:hAnsi="宋体" w:eastAsia="宋体" w:cs="宋体"/>
                <w:sz w:val="24"/>
                <w:szCs w:val="24"/>
                <w:highlight w:val="none"/>
              </w:rPr>
              <w:t>省政务云（托管）</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F39D59E">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04624C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84"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F34266F">
            <w:pPr>
              <w:pStyle w:val="5"/>
              <w:spacing w:line="360" w:lineRule="auto"/>
              <w:jc w:val="center"/>
              <w:rPr>
                <w:sz w:val="24"/>
                <w:szCs w:val="24"/>
                <w:highlight w:val="none"/>
              </w:rPr>
            </w:pPr>
            <w:r>
              <w:rPr>
                <w:rFonts w:ascii="宋体" w:hAnsi="宋体" w:eastAsia="宋体" w:cs="宋体"/>
                <w:sz w:val="24"/>
                <w:szCs w:val="24"/>
                <w:highlight w:val="none"/>
              </w:rPr>
              <w:t>11</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325BB06">
            <w:pPr>
              <w:pStyle w:val="5"/>
              <w:spacing w:line="360" w:lineRule="auto"/>
              <w:jc w:val="center"/>
              <w:rPr>
                <w:sz w:val="24"/>
                <w:szCs w:val="24"/>
                <w:highlight w:val="none"/>
              </w:rPr>
            </w:pPr>
            <w:r>
              <w:rPr>
                <w:rFonts w:ascii="宋体" w:hAnsi="宋体" w:eastAsia="宋体" w:cs="宋体"/>
                <w:sz w:val="24"/>
                <w:szCs w:val="24"/>
                <w:highlight w:val="none"/>
              </w:rPr>
              <w:t>福建省食用林产品安全信息追溯管理平台</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D5FD1DB">
            <w:pPr>
              <w:pStyle w:val="5"/>
              <w:spacing w:line="360" w:lineRule="auto"/>
              <w:jc w:val="center"/>
              <w:rPr>
                <w:sz w:val="24"/>
                <w:szCs w:val="24"/>
                <w:highlight w:val="none"/>
              </w:rPr>
            </w:pPr>
            <w:r>
              <w:rPr>
                <w:rFonts w:ascii="宋体" w:hAnsi="宋体" w:eastAsia="宋体" w:cs="宋体"/>
                <w:sz w:val="24"/>
                <w:szCs w:val="24"/>
                <w:highlight w:val="none"/>
              </w:rPr>
              <w:t>4</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42E5079">
            <w:pPr>
              <w:pStyle w:val="5"/>
              <w:spacing w:line="360" w:lineRule="auto"/>
              <w:jc w:val="center"/>
              <w:rPr>
                <w:sz w:val="24"/>
                <w:szCs w:val="24"/>
                <w:highlight w:val="none"/>
              </w:rPr>
            </w:pPr>
            <w:r>
              <w:rPr>
                <w:rFonts w:ascii="宋体" w:hAnsi="宋体" w:eastAsia="宋体" w:cs="宋体"/>
                <w:sz w:val="24"/>
                <w:szCs w:val="24"/>
                <w:highlight w:val="none"/>
              </w:rPr>
              <w:t>政务外网</w:t>
            </w:r>
            <w:r>
              <w:rPr>
                <w:sz w:val="24"/>
                <w:szCs w:val="24"/>
                <w:highlight w:val="none"/>
              </w:rPr>
              <w:br w:type="textWrapping"/>
            </w:r>
            <w:r>
              <w:rPr>
                <w:rFonts w:ascii="宋体" w:hAnsi="宋体" w:eastAsia="宋体" w:cs="宋体"/>
                <w:sz w:val="24"/>
                <w:szCs w:val="24"/>
                <w:highlight w:val="none"/>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EE8F44A">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70C8B88">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785DCE2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27A3A97D">
            <w:pPr>
              <w:pStyle w:val="5"/>
              <w:spacing w:line="360" w:lineRule="auto"/>
              <w:jc w:val="center"/>
              <w:rPr>
                <w:sz w:val="24"/>
                <w:szCs w:val="24"/>
                <w:highlight w:val="none"/>
              </w:rPr>
            </w:pPr>
            <w:r>
              <w:rPr>
                <w:rFonts w:ascii="宋体" w:hAnsi="宋体" w:eastAsia="宋体" w:cs="宋体"/>
                <w:sz w:val="24"/>
                <w:szCs w:val="24"/>
                <w:highlight w:val="none"/>
              </w:rPr>
              <w:t>12</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C4D06E4">
            <w:pPr>
              <w:pStyle w:val="5"/>
              <w:spacing w:line="360" w:lineRule="auto"/>
              <w:jc w:val="center"/>
              <w:rPr>
                <w:sz w:val="24"/>
                <w:szCs w:val="24"/>
                <w:highlight w:val="none"/>
              </w:rPr>
            </w:pPr>
            <w:r>
              <w:rPr>
                <w:rFonts w:ascii="宋体" w:hAnsi="宋体" w:eastAsia="宋体" w:cs="宋体"/>
                <w:sz w:val="24"/>
                <w:szCs w:val="24"/>
                <w:highlight w:val="none"/>
              </w:rPr>
              <w:t>福建省古树名木管理信息系统</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21E825D">
            <w:pPr>
              <w:pStyle w:val="5"/>
              <w:spacing w:line="360" w:lineRule="auto"/>
              <w:jc w:val="center"/>
              <w:rPr>
                <w:sz w:val="24"/>
                <w:szCs w:val="24"/>
                <w:highlight w:val="none"/>
              </w:rPr>
            </w:pPr>
            <w:r>
              <w:rPr>
                <w:rFonts w:ascii="宋体" w:hAnsi="宋体" w:eastAsia="宋体" w:cs="宋体"/>
                <w:sz w:val="24"/>
                <w:szCs w:val="24"/>
                <w:highlight w:val="none"/>
              </w:rPr>
              <w:t>1</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6098DB8">
            <w:pPr>
              <w:pStyle w:val="5"/>
              <w:spacing w:line="360" w:lineRule="auto"/>
              <w:jc w:val="center"/>
              <w:rPr>
                <w:sz w:val="24"/>
                <w:szCs w:val="24"/>
                <w:highlight w:val="none"/>
              </w:rPr>
            </w:pPr>
            <w:r>
              <w:rPr>
                <w:rFonts w:ascii="宋体" w:hAnsi="宋体" w:eastAsia="宋体" w:cs="宋体"/>
                <w:sz w:val="24"/>
                <w:szCs w:val="24"/>
                <w:highlight w:val="none"/>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648F5A6">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27D777D">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5D8192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412"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EDD6843">
            <w:pPr>
              <w:pStyle w:val="5"/>
              <w:spacing w:line="360" w:lineRule="auto"/>
              <w:jc w:val="center"/>
              <w:rPr>
                <w:sz w:val="24"/>
                <w:szCs w:val="24"/>
                <w:highlight w:val="none"/>
              </w:rPr>
            </w:pPr>
            <w:r>
              <w:rPr>
                <w:rFonts w:ascii="宋体" w:hAnsi="宋体" w:eastAsia="宋体" w:cs="宋体"/>
                <w:sz w:val="24"/>
                <w:szCs w:val="24"/>
                <w:highlight w:val="none"/>
              </w:rPr>
              <w:t>13</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0F0457F">
            <w:pPr>
              <w:pStyle w:val="5"/>
              <w:spacing w:line="360" w:lineRule="auto"/>
              <w:jc w:val="center"/>
              <w:rPr>
                <w:sz w:val="24"/>
                <w:szCs w:val="24"/>
                <w:highlight w:val="none"/>
              </w:rPr>
            </w:pPr>
            <w:r>
              <w:rPr>
                <w:rFonts w:ascii="宋体" w:hAnsi="宋体" w:eastAsia="宋体" w:cs="宋体"/>
                <w:sz w:val="24"/>
                <w:szCs w:val="24"/>
                <w:highlight w:val="none"/>
              </w:rPr>
              <w:t>福建省自然保护区视频监控体系建设项目</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958B3E9">
            <w:pPr>
              <w:pStyle w:val="5"/>
              <w:spacing w:line="360" w:lineRule="auto"/>
              <w:jc w:val="center"/>
              <w:rPr>
                <w:sz w:val="24"/>
                <w:szCs w:val="24"/>
                <w:highlight w:val="none"/>
              </w:rPr>
            </w:pPr>
            <w:r>
              <w:rPr>
                <w:rFonts w:ascii="宋体" w:hAnsi="宋体" w:eastAsia="宋体" w:cs="宋体"/>
                <w:sz w:val="24"/>
                <w:szCs w:val="24"/>
                <w:highlight w:val="none"/>
              </w:rPr>
              <w:t>2</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4805822">
            <w:pPr>
              <w:pStyle w:val="5"/>
              <w:spacing w:line="360" w:lineRule="auto"/>
              <w:jc w:val="center"/>
              <w:rPr>
                <w:sz w:val="24"/>
                <w:szCs w:val="24"/>
                <w:highlight w:val="none"/>
              </w:rPr>
            </w:pPr>
            <w:r>
              <w:rPr>
                <w:rFonts w:ascii="宋体" w:hAnsi="宋体" w:eastAsia="宋体" w:cs="宋体"/>
                <w:sz w:val="24"/>
                <w:szCs w:val="24"/>
                <w:highlight w:val="none"/>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7696665">
            <w:pPr>
              <w:pStyle w:val="5"/>
              <w:spacing w:line="360" w:lineRule="auto"/>
              <w:jc w:val="center"/>
              <w:rPr>
                <w:sz w:val="24"/>
                <w:szCs w:val="24"/>
                <w:highlight w:val="none"/>
              </w:rPr>
            </w:pPr>
            <w:r>
              <w:rPr>
                <w:rFonts w:ascii="宋体" w:hAnsi="宋体" w:eastAsia="宋体" w:cs="宋体"/>
                <w:sz w:val="24"/>
                <w:szCs w:val="24"/>
                <w:highlight w:val="none"/>
              </w:rPr>
              <w:t>省政务云（托管）</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21E35E7D">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1109370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C104A3C">
            <w:pPr>
              <w:pStyle w:val="5"/>
              <w:spacing w:line="360" w:lineRule="auto"/>
              <w:jc w:val="center"/>
              <w:rPr>
                <w:sz w:val="24"/>
                <w:szCs w:val="24"/>
                <w:highlight w:val="none"/>
              </w:rPr>
            </w:pPr>
            <w:r>
              <w:rPr>
                <w:rFonts w:ascii="宋体" w:hAnsi="宋体" w:eastAsia="宋体" w:cs="宋体"/>
                <w:sz w:val="24"/>
                <w:szCs w:val="24"/>
                <w:highlight w:val="none"/>
              </w:rPr>
              <w:t>14</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E301C9A">
            <w:pPr>
              <w:pStyle w:val="5"/>
              <w:spacing w:line="360" w:lineRule="auto"/>
              <w:jc w:val="center"/>
              <w:rPr>
                <w:sz w:val="24"/>
                <w:szCs w:val="24"/>
                <w:highlight w:val="none"/>
              </w:rPr>
            </w:pPr>
            <w:r>
              <w:rPr>
                <w:rFonts w:ascii="宋体" w:hAnsi="宋体" w:eastAsia="宋体" w:cs="宋体"/>
                <w:sz w:val="24"/>
                <w:szCs w:val="24"/>
                <w:highlight w:val="none"/>
              </w:rPr>
              <w:t>林场国有资产管理系统</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4F50F19">
            <w:pPr>
              <w:pStyle w:val="5"/>
              <w:spacing w:line="360" w:lineRule="auto"/>
              <w:jc w:val="center"/>
              <w:rPr>
                <w:sz w:val="24"/>
                <w:szCs w:val="24"/>
                <w:highlight w:val="none"/>
              </w:rPr>
            </w:pPr>
            <w:r>
              <w:rPr>
                <w:rFonts w:ascii="宋体" w:hAnsi="宋体" w:eastAsia="宋体" w:cs="宋体"/>
                <w:sz w:val="24"/>
                <w:szCs w:val="24"/>
                <w:highlight w:val="none"/>
              </w:rPr>
              <w:t>1</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183DAAB">
            <w:pPr>
              <w:pStyle w:val="5"/>
              <w:spacing w:line="360" w:lineRule="auto"/>
              <w:jc w:val="center"/>
              <w:rPr>
                <w:sz w:val="24"/>
                <w:szCs w:val="24"/>
                <w:highlight w:val="none"/>
              </w:rPr>
            </w:pPr>
            <w:r>
              <w:rPr>
                <w:rFonts w:ascii="宋体" w:hAnsi="宋体" w:eastAsia="宋体" w:cs="宋体"/>
                <w:sz w:val="24"/>
                <w:szCs w:val="24"/>
                <w:highlight w:val="none"/>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2687AB7F">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0CA89D41">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13741F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AF4CC22">
            <w:pPr>
              <w:pStyle w:val="5"/>
              <w:spacing w:line="360" w:lineRule="auto"/>
              <w:jc w:val="center"/>
              <w:rPr>
                <w:sz w:val="24"/>
                <w:szCs w:val="24"/>
                <w:highlight w:val="none"/>
              </w:rPr>
            </w:pPr>
            <w:r>
              <w:rPr>
                <w:rFonts w:ascii="宋体" w:hAnsi="宋体" w:eastAsia="宋体" w:cs="宋体"/>
                <w:sz w:val="24"/>
                <w:szCs w:val="24"/>
                <w:highlight w:val="none"/>
              </w:rPr>
              <w:t>15</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7E2850B">
            <w:pPr>
              <w:pStyle w:val="5"/>
              <w:spacing w:line="360" w:lineRule="auto"/>
              <w:jc w:val="center"/>
              <w:rPr>
                <w:sz w:val="24"/>
                <w:szCs w:val="24"/>
                <w:highlight w:val="none"/>
              </w:rPr>
            </w:pPr>
            <w:r>
              <w:rPr>
                <w:rFonts w:ascii="宋体" w:hAnsi="宋体" w:eastAsia="宋体" w:cs="宋体"/>
                <w:sz w:val="24"/>
                <w:szCs w:val="24"/>
                <w:highlight w:val="none"/>
              </w:rPr>
              <w:t>全国森林资源保护管理监测平台</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8A51CAC">
            <w:pPr>
              <w:pStyle w:val="5"/>
              <w:spacing w:line="360" w:lineRule="auto"/>
              <w:jc w:val="center"/>
              <w:rPr>
                <w:sz w:val="24"/>
                <w:szCs w:val="24"/>
                <w:highlight w:val="none"/>
              </w:rPr>
            </w:pPr>
            <w:r>
              <w:rPr>
                <w:rFonts w:ascii="宋体" w:hAnsi="宋体" w:eastAsia="宋体" w:cs="宋体"/>
                <w:sz w:val="24"/>
                <w:szCs w:val="24"/>
                <w:highlight w:val="none"/>
              </w:rPr>
              <w:t>3</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01C8298">
            <w:pPr>
              <w:pStyle w:val="5"/>
              <w:spacing w:line="360" w:lineRule="auto"/>
              <w:jc w:val="center"/>
              <w:rPr>
                <w:sz w:val="24"/>
                <w:szCs w:val="24"/>
                <w:highlight w:val="none"/>
              </w:rPr>
            </w:pPr>
            <w:r>
              <w:rPr>
                <w:rFonts w:ascii="宋体" w:hAnsi="宋体" w:eastAsia="宋体" w:cs="宋体"/>
                <w:sz w:val="24"/>
                <w:szCs w:val="24"/>
                <w:highlight w:val="none"/>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7048FFC">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0EC22467">
            <w:pPr>
              <w:pStyle w:val="5"/>
              <w:spacing w:line="360" w:lineRule="auto"/>
              <w:jc w:val="center"/>
              <w:rPr>
                <w:sz w:val="24"/>
                <w:szCs w:val="24"/>
                <w:highlight w:val="none"/>
              </w:rPr>
            </w:pPr>
            <w:r>
              <w:rPr>
                <w:rFonts w:ascii="宋体" w:hAnsi="宋体" w:eastAsia="宋体" w:cs="宋体"/>
                <w:sz w:val="24"/>
                <w:szCs w:val="24"/>
                <w:highlight w:val="none"/>
              </w:rPr>
              <w:t>二级</w:t>
            </w:r>
          </w:p>
        </w:tc>
      </w:tr>
      <w:tr w14:paraId="0F43584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48A5E75">
            <w:pPr>
              <w:pStyle w:val="5"/>
              <w:spacing w:line="360" w:lineRule="auto"/>
              <w:jc w:val="center"/>
              <w:rPr>
                <w:sz w:val="24"/>
                <w:szCs w:val="24"/>
                <w:highlight w:val="none"/>
              </w:rPr>
            </w:pPr>
            <w:r>
              <w:rPr>
                <w:rFonts w:ascii="宋体" w:hAnsi="宋体" w:eastAsia="宋体" w:cs="宋体"/>
                <w:sz w:val="24"/>
                <w:szCs w:val="24"/>
                <w:highlight w:val="none"/>
              </w:rPr>
              <w:t>16</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B4F226A">
            <w:pPr>
              <w:pStyle w:val="5"/>
              <w:spacing w:line="360" w:lineRule="auto"/>
              <w:jc w:val="center"/>
              <w:rPr>
                <w:sz w:val="24"/>
                <w:szCs w:val="24"/>
                <w:highlight w:val="none"/>
              </w:rPr>
            </w:pPr>
            <w:r>
              <w:rPr>
                <w:rFonts w:ascii="宋体" w:hAnsi="宋体" w:eastAsia="宋体" w:cs="宋体"/>
                <w:sz w:val="24"/>
                <w:szCs w:val="24"/>
                <w:highlight w:val="none"/>
              </w:rPr>
              <w:t>福建省森林和草原火灾风险普查软件项目</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6DB2C43">
            <w:pPr>
              <w:pStyle w:val="5"/>
              <w:spacing w:line="360" w:lineRule="auto"/>
              <w:jc w:val="center"/>
              <w:rPr>
                <w:sz w:val="24"/>
                <w:szCs w:val="24"/>
                <w:highlight w:val="none"/>
              </w:rPr>
            </w:pPr>
            <w:r>
              <w:rPr>
                <w:rFonts w:ascii="宋体" w:hAnsi="宋体" w:eastAsia="宋体" w:cs="宋体"/>
                <w:sz w:val="24"/>
                <w:szCs w:val="24"/>
                <w:highlight w:val="none"/>
              </w:rPr>
              <w:t>8</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14EDCDA">
            <w:pPr>
              <w:pStyle w:val="5"/>
              <w:spacing w:line="360" w:lineRule="auto"/>
              <w:jc w:val="center"/>
              <w:rPr>
                <w:sz w:val="24"/>
                <w:szCs w:val="24"/>
                <w:highlight w:val="none"/>
              </w:rPr>
            </w:pPr>
            <w:r>
              <w:rPr>
                <w:rFonts w:ascii="宋体" w:hAnsi="宋体" w:eastAsia="宋体" w:cs="宋体"/>
                <w:sz w:val="24"/>
                <w:szCs w:val="24"/>
                <w:highlight w:val="none"/>
              </w:rPr>
              <w:t>政务外网</w:t>
            </w:r>
          </w:p>
          <w:p w14:paraId="251C1D33">
            <w:pPr>
              <w:pStyle w:val="5"/>
              <w:spacing w:line="360" w:lineRule="auto"/>
              <w:jc w:val="center"/>
              <w:rPr>
                <w:sz w:val="24"/>
                <w:szCs w:val="24"/>
                <w:highlight w:val="none"/>
              </w:rPr>
            </w:pPr>
            <w:r>
              <w:rPr>
                <w:rFonts w:ascii="宋体" w:hAnsi="宋体" w:eastAsia="宋体" w:cs="宋体"/>
                <w:sz w:val="24"/>
                <w:szCs w:val="24"/>
                <w:highlight w:val="none"/>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D0A840A">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9582C71">
            <w:pPr>
              <w:pStyle w:val="5"/>
              <w:spacing w:line="360" w:lineRule="auto"/>
              <w:jc w:val="center"/>
              <w:rPr>
                <w:sz w:val="24"/>
                <w:szCs w:val="24"/>
                <w:highlight w:val="none"/>
              </w:rPr>
            </w:pPr>
            <w:r>
              <w:rPr>
                <w:rFonts w:ascii="宋体" w:hAnsi="宋体" w:eastAsia="宋体" w:cs="宋体"/>
                <w:sz w:val="24"/>
                <w:szCs w:val="24"/>
                <w:highlight w:val="none"/>
              </w:rPr>
              <w:t>三级</w:t>
            </w:r>
          </w:p>
        </w:tc>
      </w:tr>
      <w:tr w14:paraId="731B8B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09156E90">
            <w:pPr>
              <w:pStyle w:val="5"/>
              <w:spacing w:line="360" w:lineRule="auto"/>
              <w:jc w:val="center"/>
              <w:rPr>
                <w:sz w:val="24"/>
                <w:szCs w:val="24"/>
                <w:highlight w:val="none"/>
              </w:rPr>
            </w:pPr>
            <w:r>
              <w:rPr>
                <w:rFonts w:ascii="宋体" w:hAnsi="宋体" w:eastAsia="宋体" w:cs="宋体"/>
                <w:sz w:val="24"/>
                <w:szCs w:val="24"/>
                <w:highlight w:val="none"/>
              </w:rPr>
              <w:t>17</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02BC4901">
            <w:pPr>
              <w:pStyle w:val="5"/>
              <w:spacing w:line="360" w:lineRule="auto"/>
              <w:jc w:val="center"/>
              <w:rPr>
                <w:sz w:val="24"/>
                <w:szCs w:val="24"/>
                <w:highlight w:val="none"/>
              </w:rPr>
            </w:pPr>
            <w:r>
              <w:rPr>
                <w:rFonts w:ascii="宋体" w:hAnsi="宋体" w:eastAsia="宋体" w:cs="宋体"/>
                <w:sz w:val="24"/>
                <w:szCs w:val="24"/>
                <w:highlight w:val="none"/>
              </w:rPr>
              <w:t>福建省林业局网站</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3367FDA2">
            <w:pPr>
              <w:pStyle w:val="5"/>
              <w:spacing w:line="360" w:lineRule="auto"/>
              <w:jc w:val="center"/>
              <w:rPr>
                <w:sz w:val="24"/>
                <w:szCs w:val="24"/>
                <w:highlight w:val="none"/>
              </w:rPr>
            </w:pPr>
            <w:r>
              <w:rPr>
                <w:rFonts w:ascii="宋体" w:hAnsi="宋体" w:eastAsia="宋体" w:cs="宋体"/>
                <w:sz w:val="24"/>
                <w:szCs w:val="24"/>
                <w:highlight w:val="none"/>
              </w:rPr>
              <w:t>X</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C46FF43">
            <w:pPr>
              <w:pStyle w:val="5"/>
              <w:spacing w:line="360" w:lineRule="auto"/>
              <w:jc w:val="center"/>
              <w:rPr>
                <w:sz w:val="24"/>
                <w:szCs w:val="24"/>
                <w:highlight w:val="none"/>
              </w:rPr>
            </w:pPr>
            <w:r>
              <w:rPr>
                <w:rFonts w:ascii="宋体" w:hAnsi="宋体" w:eastAsia="宋体" w:cs="宋体"/>
                <w:sz w:val="24"/>
                <w:szCs w:val="24"/>
                <w:highlight w:val="none"/>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B6E8F7B">
            <w:pPr>
              <w:pStyle w:val="5"/>
              <w:spacing w:line="360" w:lineRule="auto"/>
              <w:jc w:val="center"/>
              <w:rPr>
                <w:sz w:val="24"/>
                <w:szCs w:val="24"/>
                <w:highlight w:val="none"/>
              </w:rPr>
            </w:pPr>
            <w:r>
              <w:rPr>
                <w:rFonts w:ascii="宋体" w:hAnsi="宋体" w:eastAsia="宋体" w:cs="宋体"/>
                <w:sz w:val="24"/>
                <w:szCs w:val="24"/>
                <w:highlight w:val="none"/>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065B793">
            <w:pPr>
              <w:pStyle w:val="5"/>
              <w:spacing w:line="360" w:lineRule="auto"/>
              <w:jc w:val="center"/>
              <w:rPr>
                <w:sz w:val="24"/>
                <w:szCs w:val="24"/>
                <w:highlight w:val="none"/>
              </w:rPr>
            </w:pPr>
            <w:r>
              <w:rPr>
                <w:rFonts w:ascii="宋体" w:hAnsi="宋体" w:eastAsia="宋体" w:cs="宋体"/>
                <w:sz w:val="24"/>
                <w:szCs w:val="24"/>
                <w:highlight w:val="none"/>
              </w:rPr>
              <w:t>三级</w:t>
            </w:r>
          </w:p>
        </w:tc>
      </w:tr>
      <w:tr w14:paraId="5D3872A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20071C8">
            <w:pPr>
              <w:pStyle w:val="5"/>
              <w:spacing w:line="360" w:lineRule="auto"/>
              <w:jc w:val="center"/>
              <w:rPr>
                <w:sz w:val="24"/>
                <w:szCs w:val="24"/>
                <w:highlight w:val="none"/>
              </w:rPr>
            </w:pPr>
            <w:r>
              <w:rPr>
                <w:rFonts w:ascii="宋体" w:hAnsi="宋体" w:eastAsia="宋体" w:cs="宋体"/>
                <w:sz w:val="24"/>
                <w:szCs w:val="24"/>
                <w:highlight w:val="none"/>
                <w:shd w:val="clear" w:fill="FFFFFF"/>
              </w:rPr>
              <w:t>18</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038993B">
            <w:pPr>
              <w:pStyle w:val="5"/>
              <w:spacing w:line="360" w:lineRule="auto"/>
              <w:jc w:val="center"/>
              <w:rPr>
                <w:sz w:val="24"/>
                <w:szCs w:val="24"/>
                <w:highlight w:val="none"/>
              </w:rPr>
            </w:pPr>
            <w:r>
              <w:rPr>
                <w:rFonts w:ascii="宋体" w:hAnsi="宋体" w:eastAsia="宋体" w:cs="宋体"/>
                <w:sz w:val="24"/>
                <w:szCs w:val="24"/>
                <w:highlight w:val="none"/>
                <w:shd w:val="clear" w:fill="FFFFFF"/>
              </w:rPr>
              <w:t>福建省林业局直属单位网站群系统</w:t>
            </w:r>
            <w:r>
              <w:rPr>
                <w:sz w:val="24"/>
                <w:szCs w:val="24"/>
                <w:highlight w:val="none"/>
              </w:rPr>
              <w:br w:type="textWrapping"/>
            </w:r>
            <w:r>
              <w:rPr>
                <w:rFonts w:ascii="宋体" w:hAnsi="宋体" w:eastAsia="宋体" w:cs="宋体"/>
                <w:sz w:val="24"/>
                <w:szCs w:val="24"/>
                <w:highlight w:val="none"/>
                <w:shd w:val="clear" w:fill="FFFFFF"/>
              </w:rPr>
              <w:t>及8个直属单位子站</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84DF7A7">
            <w:pPr>
              <w:pStyle w:val="5"/>
              <w:spacing w:line="360" w:lineRule="auto"/>
              <w:jc w:val="center"/>
              <w:rPr>
                <w:sz w:val="24"/>
                <w:szCs w:val="24"/>
                <w:highlight w:val="none"/>
              </w:rPr>
            </w:pPr>
            <w:r>
              <w:rPr>
                <w:rFonts w:ascii="宋体" w:hAnsi="宋体" w:eastAsia="宋体" w:cs="宋体"/>
                <w:sz w:val="24"/>
                <w:szCs w:val="24"/>
                <w:highlight w:val="none"/>
                <w:shd w:val="clear" w:fill="FFFFFF"/>
              </w:rPr>
              <w:t>2</w:t>
            </w: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C2CB391">
            <w:pPr>
              <w:pStyle w:val="5"/>
              <w:spacing w:line="360" w:lineRule="auto"/>
              <w:jc w:val="center"/>
              <w:rPr>
                <w:sz w:val="24"/>
                <w:szCs w:val="24"/>
                <w:highlight w:val="none"/>
              </w:rPr>
            </w:pPr>
            <w:r>
              <w:rPr>
                <w:rFonts w:ascii="宋体" w:hAnsi="宋体" w:eastAsia="宋体" w:cs="宋体"/>
                <w:sz w:val="24"/>
                <w:szCs w:val="24"/>
                <w:highlight w:val="none"/>
                <w:shd w:val="clear" w:fill="FFFFFF"/>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1C9A14A0">
            <w:pPr>
              <w:pStyle w:val="5"/>
              <w:spacing w:line="360" w:lineRule="auto"/>
              <w:jc w:val="center"/>
              <w:rPr>
                <w:sz w:val="24"/>
                <w:szCs w:val="24"/>
                <w:highlight w:val="none"/>
              </w:rPr>
            </w:pPr>
            <w:r>
              <w:rPr>
                <w:rFonts w:ascii="宋体" w:hAnsi="宋体" w:eastAsia="宋体" w:cs="宋体"/>
                <w:sz w:val="24"/>
                <w:szCs w:val="24"/>
                <w:highlight w:val="none"/>
                <w:shd w:val="clear" w:fill="FFFFFF"/>
              </w:rPr>
              <w:t>省政务云</w:t>
            </w: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23F1E4CA">
            <w:pPr>
              <w:pStyle w:val="5"/>
              <w:spacing w:line="360" w:lineRule="auto"/>
              <w:jc w:val="center"/>
              <w:rPr>
                <w:sz w:val="24"/>
                <w:szCs w:val="24"/>
                <w:highlight w:val="none"/>
              </w:rPr>
            </w:pPr>
            <w:r>
              <w:rPr>
                <w:rFonts w:ascii="宋体" w:hAnsi="宋体" w:eastAsia="宋体" w:cs="宋体"/>
                <w:sz w:val="24"/>
                <w:szCs w:val="24"/>
                <w:highlight w:val="none"/>
                <w:shd w:val="clear" w:fill="FFFFFF"/>
              </w:rPr>
              <w:t>二级</w:t>
            </w:r>
          </w:p>
        </w:tc>
      </w:tr>
      <w:tr w14:paraId="5D3396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8"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221F3979">
            <w:pPr>
              <w:pStyle w:val="5"/>
              <w:spacing w:line="360" w:lineRule="auto"/>
              <w:jc w:val="center"/>
              <w:rPr>
                <w:sz w:val="24"/>
                <w:szCs w:val="24"/>
                <w:highlight w:val="none"/>
              </w:rPr>
            </w:pPr>
            <w:r>
              <w:rPr>
                <w:rFonts w:ascii="宋体" w:hAnsi="宋体" w:eastAsia="宋体" w:cs="宋体"/>
                <w:sz w:val="24"/>
                <w:szCs w:val="24"/>
                <w:highlight w:val="none"/>
                <w:shd w:val="clear" w:fill="FFFFFF"/>
              </w:rPr>
              <w:t>19</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C56A25E">
            <w:pPr>
              <w:pStyle w:val="5"/>
              <w:spacing w:line="360" w:lineRule="auto"/>
              <w:jc w:val="center"/>
              <w:rPr>
                <w:sz w:val="24"/>
                <w:szCs w:val="24"/>
                <w:highlight w:val="none"/>
              </w:rPr>
            </w:pPr>
            <w:r>
              <w:rPr>
                <w:rFonts w:ascii="宋体" w:hAnsi="宋体" w:eastAsia="宋体" w:cs="宋体"/>
                <w:sz w:val="24"/>
                <w:szCs w:val="24"/>
                <w:highlight w:val="none"/>
                <w:shd w:val="clear" w:fill="FFFFFF"/>
              </w:rPr>
              <w:t>福建“互联网+全民义务植树”网站系统</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4ACBCC0B">
            <w:pPr>
              <w:pStyle w:val="5"/>
              <w:spacing w:line="360" w:lineRule="auto"/>
              <w:jc w:val="center"/>
              <w:rPr>
                <w:sz w:val="24"/>
                <w:szCs w:val="24"/>
                <w:highlight w:val="none"/>
              </w:rPr>
            </w:pP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2782B2F5">
            <w:pPr>
              <w:pStyle w:val="5"/>
              <w:spacing w:line="360" w:lineRule="auto"/>
              <w:jc w:val="center"/>
              <w:rPr>
                <w:sz w:val="24"/>
                <w:szCs w:val="24"/>
                <w:highlight w:val="none"/>
              </w:rPr>
            </w:pPr>
            <w:r>
              <w:rPr>
                <w:rFonts w:ascii="宋体" w:hAnsi="宋体" w:eastAsia="宋体" w:cs="宋体"/>
                <w:sz w:val="24"/>
                <w:szCs w:val="24"/>
                <w:highlight w:val="none"/>
                <w:shd w:val="clear" w:fill="FFFFFF"/>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694A35A">
            <w:pPr>
              <w:pStyle w:val="5"/>
              <w:spacing w:line="360" w:lineRule="auto"/>
              <w:jc w:val="center"/>
              <w:rPr>
                <w:sz w:val="24"/>
                <w:szCs w:val="24"/>
                <w:highlight w:val="none"/>
              </w:rPr>
            </w:pP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DE62667">
            <w:pPr>
              <w:spacing w:line="360" w:lineRule="auto"/>
              <w:jc w:val="center"/>
              <w:rPr>
                <w:sz w:val="24"/>
                <w:szCs w:val="24"/>
                <w:highlight w:val="none"/>
              </w:rPr>
            </w:pPr>
          </w:p>
        </w:tc>
      </w:tr>
      <w:tr w14:paraId="612D5D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65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0055AA9B">
            <w:pPr>
              <w:pStyle w:val="5"/>
              <w:spacing w:line="360" w:lineRule="auto"/>
              <w:jc w:val="center"/>
              <w:rPr>
                <w:sz w:val="24"/>
                <w:szCs w:val="24"/>
                <w:highlight w:val="none"/>
              </w:rPr>
            </w:pPr>
            <w:r>
              <w:rPr>
                <w:rFonts w:ascii="宋体" w:hAnsi="宋体" w:eastAsia="宋体" w:cs="宋体"/>
                <w:sz w:val="24"/>
                <w:szCs w:val="24"/>
                <w:highlight w:val="none"/>
                <w:shd w:val="clear" w:fill="FFFFFF"/>
              </w:rPr>
              <w:t>20</w:t>
            </w:r>
          </w:p>
        </w:tc>
        <w:tc>
          <w:tcPr>
            <w:tcW w:w="385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65E9B6C6">
            <w:pPr>
              <w:pStyle w:val="5"/>
              <w:spacing w:line="360" w:lineRule="auto"/>
              <w:jc w:val="center"/>
              <w:rPr>
                <w:sz w:val="24"/>
                <w:szCs w:val="24"/>
                <w:highlight w:val="none"/>
              </w:rPr>
            </w:pPr>
            <w:r>
              <w:rPr>
                <w:rFonts w:ascii="宋体" w:hAnsi="宋体" w:eastAsia="宋体" w:cs="宋体"/>
                <w:sz w:val="24"/>
                <w:szCs w:val="24"/>
                <w:highlight w:val="none"/>
                <w:shd w:val="clear" w:fill="FFFFFF"/>
              </w:rPr>
              <w:t>全国林木采伐管理系统（省级）</w:t>
            </w:r>
          </w:p>
        </w:tc>
        <w:tc>
          <w:tcPr>
            <w:tcW w:w="9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5171F77">
            <w:pPr>
              <w:pStyle w:val="5"/>
              <w:spacing w:line="360" w:lineRule="auto"/>
              <w:jc w:val="center"/>
              <w:rPr>
                <w:sz w:val="24"/>
                <w:szCs w:val="24"/>
                <w:highlight w:val="none"/>
              </w:rPr>
            </w:pPr>
          </w:p>
        </w:tc>
        <w:tc>
          <w:tcPr>
            <w:tcW w:w="153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5E9B6BAF">
            <w:pPr>
              <w:pStyle w:val="5"/>
              <w:spacing w:line="360" w:lineRule="auto"/>
              <w:jc w:val="center"/>
              <w:rPr>
                <w:sz w:val="24"/>
                <w:szCs w:val="24"/>
                <w:highlight w:val="none"/>
              </w:rPr>
            </w:pPr>
            <w:r>
              <w:rPr>
                <w:rFonts w:ascii="宋体" w:hAnsi="宋体" w:eastAsia="宋体" w:cs="宋体"/>
                <w:sz w:val="24"/>
                <w:szCs w:val="24"/>
                <w:highlight w:val="none"/>
                <w:shd w:val="clear" w:fill="FFFFFF"/>
              </w:rPr>
              <w:t>互联网</w:t>
            </w:r>
          </w:p>
        </w:tc>
        <w:tc>
          <w:tcPr>
            <w:tcW w:w="187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2BFFC834">
            <w:pPr>
              <w:pStyle w:val="5"/>
              <w:spacing w:line="360" w:lineRule="auto"/>
              <w:jc w:val="center"/>
              <w:rPr>
                <w:sz w:val="24"/>
                <w:szCs w:val="24"/>
                <w:highlight w:val="none"/>
              </w:rPr>
            </w:pPr>
          </w:p>
        </w:tc>
        <w:tc>
          <w:tcPr>
            <w:tcW w:w="1047"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center"/>
          </w:tcPr>
          <w:p w14:paraId="74CAD67B">
            <w:pPr>
              <w:spacing w:line="360" w:lineRule="auto"/>
              <w:jc w:val="center"/>
              <w:rPr>
                <w:sz w:val="24"/>
                <w:szCs w:val="24"/>
                <w:highlight w:val="none"/>
              </w:rPr>
            </w:pPr>
          </w:p>
        </w:tc>
      </w:tr>
    </w:tbl>
    <w:p w14:paraId="1DFFEA66">
      <w:pPr>
        <w:pStyle w:val="5"/>
        <w:spacing w:line="360" w:lineRule="auto"/>
        <w:jc w:val="both"/>
        <w:rPr>
          <w:highlight w:val="none"/>
        </w:rPr>
      </w:pPr>
      <w:r>
        <w:rPr>
          <w:rFonts w:ascii="宋体" w:hAnsi="宋体" w:eastAsia="宋体" w:cs="宋体"/>
          <w:b/>
          <w:sz w:val="24"/>
          <w:highlight w:val="none"/>
        </w:rPr>
        <w:t>1.2服务期限</w:t>
      </w:r>
    </w:p>
    <w:p w14:paraId="24F63ED1">
      <w:pPr>
        <w:pStyle w:val="5"/>
        <w:spacing w:line="360" w:lineRule="auto"/>
        <w:ind w:firstLine="480"/>
        <w:jc w:val="both"/>
        <w:rPr>
          <w:highlight w:val="none"/>
        </w:rPr>
      </w:pPr>
      <w:r>
        <w:rPr>
          <w:rFonts w:ascii="宋体" w:hAnsi="宋体" w:eastAsia="宋体" w:cs="宋体"/>
          <w:sz w:val="24"/>
          <w:highlight w:val="none"/>
        </w:rPr>
        <w:t>服务期限为自合同签订生效之日起三年。</w:t>
      </w:r>
    </w:p>
    <w:p w14:paraId="3E000BB6">
      <w:pPr>
        <w:pStyle w:val="5"/>
        <w:spacing w:line="360" w:lineRule="auto"/>
        <w:ind w:firstLine="480"/>
        <w:jc w:val="both"/>
        <w:rPr>
          <w:highlight w:val="none"/>
        </w:rPr>
      </w:pPr>
      <w:r>
        <w:rPr>
          <w:rFonts w:ascii="宋体" w:hAnsi="宋体" w:eastAsia="宋体" w:cs="宋体"/>
          <w:b/>
          <w:sz w:val="24"/>
          <w:highlight w:val="none"/>
        </w:rPr>
        <w:t>1.3服务概述</w:t>
      </w:r>
    </w:p>
    <w:tbl>
      <w:tblPr>
        <w:tblStyle w:val="3"/>
        <w:tblW w:w="9857"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72"/>
        <w:gridCol w:w="1230"/>
        <w:gridCol w:w="1229"/>
        <w:gridCol w:w="3595"/>
        <w:gridCol w:w="1305"/>
        <w:gridCol w:w="1826"/>
      </w:tblGrid>
      <w:tr w14:paraId="3429D9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67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3C1FFC8">
            <w:pPr>
              <w:pStyle w:val="5"/>
              <w:spacing w:line="360" w:lineRule="auto"/>
              <w:jc w:val="center"/>
              <w:rPr>
                <w:highlight w:val="none"/>
              </w:rPr>
            </w:pPr>
            <w:r>
              <w:rPr>
                <w:rFonts w:ascii="宋体" w:hAnsi="宋体" w:eastAsia="宋体" w:cs="宋体"/>
                <w:b/>
                <w:sz w:val="24"/>
                <w:highlight w:val="none"/>
              </w:rPr>
              <w:t>序号</w:t>
            </w:r>
          </w:p>
        </w:tc>
        <w:tc>
          <w:tcPr>
            <w:tcW w:w="123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B044EC5">
            <w:pPr>
              <w:pStyle w:val="5"/>
              <w:spacing w:line="360" w:lineRule="auto"/>
              <w:jc w:val="center"/>
              <w:rPr>
                <w:highlight w:val="none"/>
              </w:rPr>
            </w:pPr>
            <w:r>
              <w:rPr>
                <w:rFonts w:ascii="宋体" w:hAnsi="宋体" w:eastAsia="宋体" w:cs="宋体"/>
                <w:b/>
                <w:sz w:val="24"/>
                <w:highlight w:val="none"/>
              </w:rPr>
              <w:t>服务大类</w:t>
            </w:r>
          </w:p>
        </w:tc>
        <w:tc>
          <w:tcPr>
            <w:tcW w:w="122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89C462D">
            <w:pPr>
              <w:pStyle w:val="5"/>
              <w:spacing w:line="360" w:lineRule="auto"/>
              <w:jc w:val="center"/>
              <w:rPr>
                <w:highlight w:val="none"/>
              </w:rPr>
            </w:pPr>
            <w:r>
              <w:rPr>
                <w:rFonts w:ascii="宋体" w:hAnsi="宋体" w:eastAsia="宋体" w:cs="宋体"/>
                <w:b/>
                <w:sz w:val="24"/>
                <w:highlight w:val="none"/>
              </w:rPr>
              <w:t>服务类别</w:t>
            </w:r>
          </w:p>
        </w:tc>
        <w:tc>
          <w:tcPr>
            <w:tcW w:w="359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89A2A48">
            <w:pPr>
              <w:pStyle w:val="5"/>
              <w:spacing w:line="360" w:lineRule="auto"/>
              <w:jc w:val="center"/>
              <w:rPr>
                <w:highlight w:val="none"/>
              </w:rPr>
            </w:pPr>
            <w:r>
              <w:rPr>
                <w:rFonts w:ascii="宋体" w:hAnsi="宋体" w:eastAsia="宋体" w:cs="宋体"/>
                <w:b/>
                <w:sz w:val="24"/>
                <w:highlight w:val="none"/>
              </w:rPr>
              <w:t>服务内容</w:t>
            </w:r>
          </w:p>
        </w:tc>
        <w:tc>
          <w:tcPr>
            <w:tcW w:w="130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49E3611">
            <w:pPr>
              <w:pStyle w:val="5"/>
              <w:spacing w:line="360" w:lineRule="auto"/>
              <w:jc w:val="center"/>
              <w:rPr>
                <w:highlight w:val="none"/>
              </w:rPr>
            </w:pPr>
            <w:r>
              <w:rPr>
                <w:rFonts w:ascii="宋体" w:hAnsi="宋体" w:eastAsia="宋体" w:cs="宋体"/>
                <w:b/>
                <w:sz w:val="24"/>
                <w:highlight w:val="none"/>
              </w:rPr>
              <w:t>服务频率</w:t>
            </w:r>
          </w:p>
        </w:tc>
        <w:tc>
          <w:tcPr>
            <w:tcW w:w="182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9FEB1FD">
            <w:pPr>
              <w:pStyle w:val="5"/>
              <w:spacing w:line="360" w:lineRule="auto"/>
              <w:jc w:val="center"/>
              <w:rPr>
                <w:highlight w:val="none"/>
              </w:rPr>
            </w:pPr>
            <w:r>
              <w:rPr>
                <w:rFonts w:ascii="宋体" w:hAnsi="宋体" w:eastAsia="宋体" w:cs="宋体"/>
                <w:b/>
                <w:sz w:val="24"/>
                <w:highlight w:val="none"/>
              </w:rPr>
              <w:t>交付成果</w:t>
            </w:r>
          </w:p>
        </w:tc>
      </w:tr>
      <w:tr w14:paraId="1F7D611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2D1F5FE">
            <w:pPr>
              <w:pStyle w:val="5"/>
              <w:spacing w:line="360" w:lineRule="auto"/>
              <w:jc w:val="center"/>
              <w:rPr>
                <w:highlight w:val="none"/>
              </w:rPr>
            </w:pPr>
            <w:r>
              <w:rPr>
                <w:rFonts w:ascii="宋体" w:hAnsi="宋体" w:eastAsia="宋体" w:cs="宋体"/>
                <w:sz w:val="24"/>
                <w:highlight w:val="none"/>
              </w:rPr>
              <w:t>1</w:t>
            </w:r>
          </w:p>
        </w:tc>
        <w:tc>
          <w:tcPr>
            <w:tcW w:w="1230"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11BC933">
            <w:pPr>
              <w:pStyle w:val="5"/>
              <w:spacing w:line="360" w:lineRule="auto"/>
              <w:jc w:val="center"/>
              <w:rPr>
                <w:highlight w:val="none"/>
              </w:rPr>
            </w:pPr>
            <w:r>
              <w:rPr>
                <w:rFonts w:ascii="宋体" w:hAnsi="宋体" w:eastAsia="宋体" w:cs="宋体"/>
                <w:sz w:val="24"/>
                <w:highlight w:val="none"/>
              </w:rPr>
              <w:t>资产梳理与巡检服务</w:t>
            </w:r>
          </w:p>
        </w:tc>
        <w:tc>
          <w:tcPr>
            <w:tcW w:w="1229"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00C2CBB">
            <w:pPr>
              <w:pStyle w:val="5"/>
              <w:spacing w:line="360" w:lineRule="auto"/>
              <w:jc w:val="center"/>
              <w:rPr>
                <w:highlight w:val="none"/>
              </w:rPr>
            </w:pPr>
            <w:r>
              <w:rPr>
                <w:rFonts w:ascii="宋体" w:hAnsi="宋体" w:eastAsia="宋体" w:cs="宋体"/>
                <w:sz w:val="24"/>
                <w:highlight w:val="none"/>
              </w:rPr>
              <w:t>资产梳理服务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3C03D4E">
            <w:pPr>
              <w:pStyle w:val="5"/>
              <w:spacing w:line="360" w:lineRule="auto"/>
              <w:jc w:val="left"/>
              <w:rPr>
                <w:highlight w:val="none"/>
              </w:rPr>
            </w:pPr>
            <w:r>
              <w:rPr>
                <w:rFonts w:ascii="宋体" w:hAnsi="宋体" w:eastAsia="宋体" w:cs="宋体"/>
                <w:sz w:val="24"/>
                <w:highlight w:val="none"/>
              </w:rPr>
              <w:t>（1）资产识别分析服务</w:t>
            </w:r>
          </w:p>
        </w:tc>
        <w:tc>
          <w:tcPr>
            <w:tcW w:w="1305"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59891B6">
            <w:pPr>
              <w:pStyle w:val="5"/>
              <w:spacing w:line="360" w:lineRule="auto"/>
              <w:jc w:val="center"/>
              <w:rPr>
                <w:highlight w:val="none"/>
              </w:rPr>
            </w:pPr>
            <w:r>
              <w:rPr>
                <w:rFonts w:ascii="宋体" w:hAnsi="宋体" w:eastAsia="宋体" w:cs="宋体"/>
                <w:sz w:val="24"/>
                <w:highlight w:val="none"/>
              </w:rPr>
              <w:t>1次/季度</w:t>
            </w:r>
          </w:p>
        </w:tc>
        <w:tc>
          <w:tcPr>
            <w:tcW w:w="1826"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CEA0238">
            <w:pPr>
              <w:pStyle w:val="5"/>
              <w:spacing w:line="360" w:lineRule="auto"/>
              <w:jc w:val="center"/>
              <w:rPr>
                <w:highlight w:val="none"/>
              </w:rPr>
            </w:pPr>
            <w:r>
              <w:rPr>
                <w:rFonts w:ascii="宋体" w:hAnsi="宋体" w:eastAsia="宋体" w:cs="宋体"/>
                <w:sz w:val="24"/>
                <w:highlight w:val="none"/>
              </w:rPr>
              <w:t>《资产清单》</w:t>
            </w:r>
          </w:p>
        </w:tc>
      </w:tr>
      <w:tr w14:paraId="0A9F2B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036E8C1F">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55002E03">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746FA270">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C709940">
            <w:pPr>
              <w:pStyle w:val="5"/>
              <w:spacing w:line="360" w:lineRule="auto"/>
              <w:jc w:val="left"/>
              <w:rPr>
                <w:highlight w:val="none"/>
              </w:rPr>
            </w:pPr>
            <w:r>
              <w:rPr>
                <w:rFonts w:ascii="宋体" w:hAnsi="宋体" w:eastAsia="宋体" w:cs="宋体"/>
                <w:sz w:val="24"/>
                <w:highlight w:val="none"/>
              </w:rPr>
              <w:t>（2）资产信息梳理服务</w:t>
            </w:r>
          </w:p>
        </w:tc>
        <w:tc>
          <w:tcPr>
            <w:tcW w:w="1305" w:type="dxa"/>
            <w:vMerge w:val="continue"/>
            <w:tcBorders>
              <w:top w:val="nil"/>
              <w:left w:val="single" w:color="000000" w:sz="4" w:space="0"/>
              <w:bottom w:val="single" w:color="000000" w:sz="4" w:space="0"/>
              <w:right w:val="single" w:color="000000" w:sz="4" w:space="0"/>
            </w:tcBorders>
          </w:tcPr>
          <w:p w14:paraId="0A66BD26">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3D033CB8">
            <w:pPr>
              <w:spacing w:line="360" w:lineRule="auto"/>
              <w:rPr>
                <w:highlight w:val="none"/>
              </w:rPr>
            </w:pPr>
          </w:p>
        </w:tc>
      </w:tr>
      <w:tr w14:paraId="3A9D5F5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888" w:hRule="atLeast"/>
        </w:trPr>
        <w:tc>
          <w:tcPr>
            <w:tcW w:w="672" w:type="dxa"/>
            <w:vMerge w:val="continue"/>
            <w:tcBorders>
              <w:top w:val="nil"/>
              <w:left w:val="single" w:color="000000" w:sz="4" w:space="0"/>
              <w:bottom w:val="single" w:color="000000" w:sz="4" w:space="0"/>
              <w:right w:val="single" w:color="000000" w:sz="4" w:space="0"/>
            </w:tcBorders>
          </w:tcPr>
          <w:p w14:paraId="397EBD53">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3DFC73E7">
            <w:pPr>
              <w:spacing w:line="360" w:lineRule="auto"/>
              <w:rPr>
                <w:highlight w:val="none"/>
              </w:rPr>
            </w:pPr>
          </w:p>
        </w:tc>
        <w:tc>
          <w:tcPr>
            <w:tcW w:w="12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BF1027D">
            <w:pPr>
              <w:pStyle w:val="5"/>
              <w:spacing w:line="360" w:lineRule="auto"/>
              <w:jc w:val="center"/>
              <w:rPr>
                <w:highlight w:val="none"/>
              </w:rPr>
            </w:pPr>
            <w:r>
              <w:rPr>
                <w:rFonts w:ascii="宋体" w:hAnsi="宋体" w:eastAsia="宋体" w:cs="宋体"/>
                <w:sz w:val="24"/>
                <w:highlight w:val="none"/>
              </w:rPr>
              <w:t>巡检服务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2A77EC2">
            <w:pPr>
              <w:pStyle w:val="5"/>
              <w:spacing w:line="360" w:lineRule="auto"/>
              <w:jc w:val="left"/>
              <w:rPr>
                <w:highlight w:val="none"/>
              </w:rPr>
            </w:pPr>
            <w:r>
              <w:rPr>
                <w:rFonts w:ascii="宋体" w:hAnsi="宋体" w:eastAsia="宋体" w:cs="宋体"/>
                <w:sz w:val="24"/>
                <w:highlight w:val="none"/>
              </w:rPr>
              <w:t>（1）云上服务器巡检服务</w:t>
            </w:r>
          </w:p>
        </w:tc>
        <w:tc>
          <w:tcPr>
            <w:tcW w:w="130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755B36A">
            <w:pPr>
              <w:pStyle w:val="5"/>
              <w:spacing w:line="360" w:lineRule="auto"/>
              <w:jc w:val="center"/>
              <w:rPr>
                <w:highlight w:val="none"/>
              </w:rPr>
            </w:pPr>
            <w:r>
              <w:rPr>
                <w:rFonts w:ascii="宋体" w:hAnsi="宋体" w:eastAsia="宋体" w:cs="宋体"/>
                <w:sz w:val="24"/>
                <w:highlight w:val="none"/>
              </w:rPr>
              <w:t>1次/月</w:t>
            </w:r>
          </w:p>
        </w:tc>
        <w:tc>
          <w:tcPr>
            <w:tcW w:w="18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87CDE99">
            <w:pPr>
              <w:pStyle w:val="5"/>
              <w:spacing w:line="360" w:lineRule="auto"/>
              <w:jc w:val="center"/>
              <w:rPr>
                <w:highlight w:val="none"/>
              </w:rPr>
            </w:pPr>
            <w:r>
              <w:rPr>
                <w:rFonts w:ascii="宋体" w:hAnsi="宋体" w:eastAsia="宋体" w:cs="宋体"/>
                <w:sz w:val="24"/>
                <w:highlight w:val="none"/>
              </w:rPr>
              <w:t>《云上服务器巡检报告》</w:t>
            </w:r>
          </w:p>
        </w:tc>
      </w:tr>
      <w:tr w14:paraId="23C948D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AF576AE">
            <w:pPr>
              <w:pStyle w:val="5"/>
              <w:spacing w:line="360" w:lineRule="auto"/>
              <w:jc w:val="center"/>
              <w:rPr>
                <w:highlight w:val="none"/>
              </w:rPr>
            </w:pPr>
            <w:r>
              <w:rPr>
                <w:rFonts w:ascii="宋体" w:hAnsi="宋体" w:eastAsia="宋体" w:cs="宋体"/>
                <w:sz w:val="24"/>
                <w:highlight w:val="none"/>
              </w:rPr>
              <w:t>2</w:t>
            </w:r>
          </w:p>
        </w:tc>
        <w:tc>
          <w:tcPr>
            <w:tcW w:w="1230"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FFA19EC">
            <w:pPr>
              <w:pStyle w:val="5"/>
              <w:spacing w:line="360" w:lineRule="auto"/>
              <w:jc w:val="center"/>
              <w:rPr>
                <w:highlight w:val="none"/>
              </w:rPr>
            </w:pPr>
            <w:r>
              <w:rPr>
                <w:rFonts w:ascii="宋体" w:hAnsi="宋体" w:eastAsia="宋体" w:cs="宋体"/>
                <w:sz w:val="24"/>
                <w:highlight w:val="none"/>
              </w:rPr>
              <w:t>主机系统安全检测服务</w:t>
            </w:r>
          </w:p>
        </w:tc>
        <w:tc>
          <w:tcPr>
            <w:tcW w:w="1229"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8FF3EFE">
            <w:pPr>
              <w:pStyle w:val="5"/>
              <w:spacing w:line="360" w:lineRule="auto"/>
              <w:jc w:val="center"/>
              <w:rPr>
                <w:highlight w:val="none"/>
              </w:rPr>
            </w:pPr>
            <w:r>
              <w:rPr>
                <w:rFonts w:ascii="宋体" w:hAnsi="宋体" w:eastAsia="宋体" w:cs="宋体"/>
                <w:sz w:val="24"/>
                <w:highlight w:val="none"/>
              </w:rPr>
              <w:t>主机系统安全检测服务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75A2CD3">
            <w:pPr>
              <w:pStyle w:val="5"/>
              <w:spacing w:line="360" w:lineRule="auto"/>
              <w:jc w:val="left"/>
              <w:rPr>
                <w:highlight w:val="none"/>
              </w:rPr>
            </w:pPr>
            <w:r>
              <w:rPr>
                <w:rFonts w:ascii="宋体" w:hAnsi="宋体" w:eastAsia="宋体" w:cs="宋体"/>
                <w:sz w:val="24"/>
                <w:highlight w:val="none"/>
              </w:rPr>
              <w:t>（1）主机系统漏洞扫描服务</w:t>
            </w:r>
          </w:p>
        </w:tc>
        <w:tc>
          <w:tcPr>
            <w:tcW w:w="1305"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726F594">
            <w:pPr>
              <w:pStyle w:val="5"/>
              <w:spacing w:line="360" w:lineRule="auto"/>
              <w:jc w:val="center"/>
              <w:rPr>
                <w:highlight w:val="none"/>
              </w:rPr>
            </w:pPr>
            <w:r>
              <w:rPr>
                <w:rFonts w:ascii="宋体" w:hAnsi="宋体" w:eastAsia="宋体" w:cs="宋体"/>
                <w:sz w:val="24"/>
                <w:highlight w:val="none"/>
              </w:rPr>
              <w:t>1次/季度</w:t>
            </w:r>
          </w:p>
        </w:tc>
        <w:tc>
          <w:tcPr>
            <w:tcW w:w="1826"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079ECC9">
            <w:pPr>
              <w:pStyle w:val="5"/>
              <w:spacing w:line="360" w:lineRule="auto"/>
              <w:jc w:val="center"/>
              <w:rPr>
                <w:highlight w:val="none"/>
              </w:rPr>
            </w:pPr>
            <w:r>
              <w:rPr>
                <w:rFonts w:ascii="宋体" w:hAnsi="宋体" w:eastAsia="宋体" w:cs="宋体"/>
                <w:sz w:val="24"/>
                <w:highlight w:val="none"/>
              </w:rPr>
              <w:t>《主机系统安全检测报告》</w:t>
            </w:r>
          </w:p>
        </w:tc>
      </w:tr>
      <w:tr w14:paraId="7D7026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09CFEA20">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47AB9E68">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5F2F8AB1">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7BBC6AA">
            <w:pPr>
              <w:pStyle w:val="5"/>
              <w:spacing w:line="360" w:lineRule="auto"/>
              <w:jc w:val="left"/>
              <w:rPr>
                <w:highlight w:val="none"/>
              </w:rPr>
            </w:pPr>
            <w:r>
              <w:rPr>
                <w:rFonts w:ascii="宋体" w:hAnsi="宋体" w:eastAsia="宋体" w:cs="宋体"/>
                <w:sz w:val="24"/>
                <w:highlight w:val="none"/>
              </w:rPr>
              <w:t>（2）主机系统安全配置核查服务</w:t>
            </w:r>
          </w:p>
        </w:tc>
        <w:tc>
          <w:tcPr>
            <w:tcW w:w="1305" w:type="dxa"/>
            <w:vMerge w:val="continue"/>
            <w:tcBorders>
              <w:top w:val="nil"/>
              <w:left w:val="single" w:color="000000" w:sz="4" w:space="0"/>
              <w:bottom w:val="single" w:color="000000" w:sz="4" w:space="0"/>
              <w:right w:val="single" w:color="000000" w:sz="4" w:space="0"/>
            </w:tcBorders>
          </w:tcPr>
          <w:p w14:paraId="76C09C7D">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7828B251">
            <w:pPr>
              <w:spacing w:line="360" w:lineRule="auto"/>
              <w:rPr>
                <w:highlight w:val="none"/>
              </w:rPr>
            </w:pPr>
          </w:p>
        </w:tc>
      </w:tr>
      <w:tr w14:paraId="7295105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2E5A2924">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08D6E674">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3E1CF5E8">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32B3383">
            <w:pPr>
              <w:pStyle w:val="5"/>
              <w:spacing w:line="360" w:lineRule="auto"/>
              <w:jc w:val="left"/>
              <w:rPr>
                <w:highlight w:val="none"/>
              </w:rPr>
            </w:pPr>
            <w:r>
              <w:rPr>
                <w:rFonts w:ascii="宋体" w:hAnsi="宋体" w:eastAsia="宋体" w:cs="宋体"/>
                <w:sz w:val="24"/>
                <w:highlight w:val="none"/>
              </w:rPr>
              <w:t>（3）主机系统后门检查服务</w:t>
            </w:r>
          </w:p>
        </w:tc>
        <w:tc>
          <w:tcPr>
            <w:tcW w:w="1305" w:type="dxa"/>
            <w:vMerge w:val="continue"/>
            <w:tcBorders>
              <w:top w:val="nil"/>
              <w:left w:val="single" w:color="000000" w:sz="4" w:space="0"/>
              <w:bottom w:val="single" w:color="000000" w:sz="4" w:space="0"/>
              <w:right w:val="single" w:color="000000" w:sz="4" w:space="0"/>
            </w:tcBorders>
          </w:tcPr>
          <w:p w14:paraId="12ACAE50">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58C0FD95">
            <w:pPr>
              <w:spacing w:line="360" w:lineRule="auto"/>
              <w:rPr>
                <w:highlight w:val="none"/>
              </w:rPr>
            </w:pPr>
          </w:p>
        </w:tc>
      </w:tr>
      <w:tr w14:paraId="1AD856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5781722C">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63D0EFC1">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02FE19EC">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3060874">
            <w:pPr>
              <w:pStyle w:val="5"/>
              <w:spacing w:line="360" w:lineRule="auto"/>
              <w:jc w:val="left"/>
              <w:rPr>
                <w:highlight w:val="none"/>
              </w:rPr>
            </w:pPr>
            <w:r>
              <w:rPr>
                <w:rFonts w:ascii="宋体" w:hAnsi="宋体" w:eastAsia="宋体" w:cs="宋体"/>
                <w:sz w:val="24"/>
                <w:highlight w:val="none"/>
              </w:rPr>
              <w:t>（4）网络攻击威胁实时监测服务</w:t>
            </w:r>
          </w:p>
        </w:tc>
        <w:tc>
          <w:tcPr>
            <w:tcW w:w="1305" w:type="dxa"/>
            <w:vMerge w:val="continue"/>
            <w:tcBorders>
              <w:top w:val="nil"/>
              <w:left w:val="single" w:color="000000" w:sz="4" w:space="0"/>
              <w:bottom w:val="single" w:color="000000" w:sz="4" w:space="0"/>
              <w:right w:val="single" w:color="000000" w:sz="4" w:space="0"/>
            </w:tcBorders>
          </w:tcPr>
          <w:p w14:paraId="4D70DBFB">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690EF762">
            <w:pPr>
              <w:spacing w:line="360" w:lineRule="auto"/>
              <w:rPr>
                <w:highlight w:val="none"/>
              </w:rPr>
            </w:pPr>
          </w:p>
        </w:tc>
      </w:tr>
      <w:tr w14:paraId="365371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58EF9610">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2C0E7AD8">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2DF5F354">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02FD8B2">
            <w:pPr>
              <w:pStyle w:val="5"/>
              <w:spacing w:line="360" w:lineRule="auto"/>
              <w:jc w:val="left"/>
              <w:rPr>
                <w:highlight w:val="none"/>
              </w:rPr>
            </w:pPr>
            <w:r>
              <w:rPr>
                <w:rFonts w:ascii="宋体" w:hAnsi="宋体" w:eastAsia="宋体" w:cs="宋体"/>
                <w:sz w:val="24"/>
                <w:highlight w:val="none"/>
              </w:rPr>
              <w:t>（5）主机入侵行为实时监测服务</w:t>
            </w:r>
          </w:p>
        </w:tc>
        <w:tc>
          <w:tcPr>
            <w:tcW w:w="1305" w:type="dxa"/>
            <w:vMerge w:val="continue"/>
            <w:tcBorders>
              <w:top w:val="nil"/>
              <w:left w:val="single" w:color="000000" w:sz="4" w:space="0"/>
              <w:bottom w:val="single" w:color="000000" w:sz="4" w:space="0"/>
              <w:right w:val="single" w:color="000000" w:sz="4" w:space="0"/>
            </w:tcBorders>
          </w:tcPr>
          <w:p w14:paraId="6337787F">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522411E3">
            <w:pPr>
              <w:spacing w:line="360" w:lineRule="auto"/>
              <w:rPr>
                <w:highlight w:val="none"/>
              </w:rPr>
            </w:pPr>
          </w:p>
        </w:tc>
      </w:tr>
      <w:tr w14:paraId="520682A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672" w:type="dxa"/>
            <w:vMerge w:val="continue"/>
            <w:tcBorders>
              <w:top w:val="nil"/>
              <w:left w:val="single" w:color="000000" w:sz="4" w:space="0"/>
              <w:bottom w:val="single" w:color="000000" w:sz="4" w:space="0"/>
              <w:right w:val="single" w:color="000000" w:sz="4" w:space="0"/>
            </w:tcBorders>
          </w:tcPr>
          <w:p w14:paraId="5FBD7337">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32BAD603">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7BA92553">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22C0DB3">
            <w:pPr>
              <w:pStyle w:val="5"/>
              <w:spacing w:line="360" w:lineRule="auto"/>
              <w:jc w:val="left"/>
              <w:rPr>
                <w:highlight w:val="none"/>
              </w:rPr>
            </w:pPr>
            <w:r>
              <w:rPr>
                <w:rFonts w:ascii="宋体" w:hAnsi="宋体" w:eastAsia="宋体" w:cs="宋体"/>
                <w:sz w:val="24"/>
                <w:highlight w:val="none"/>
              </w:rPr>
              <w:t>（6）横向渗透攻击行为实时监测服务</w:t>
            </w:r>
          </w:p>
        </w:tc>
        <w:tc>
          <w:tcPr>
            <w:tcW w:w="1305" w:type="dxa"/>
            <w:vMerge w:val="continue"/>
            <w:tcBorders>
              <w:top w:val="nil"/>
              <w:left w:val="single" w:color="000000" w:sz="4" w:space="0"/>
              <w:bottom w:val="single" w:color="000000" w:sz="4" w:space="0"/>
              <w:right w:val="single" w:color="000000" w:sz="4" w:space="0"/>
            </w:tcBorders>
          </w:tcPr>
          <w:p w14:paraId="0494867D">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46F44978">
            <w:pPr>
              <w:spacing w:line="360" w:lineRule="auto"/>
              <w:rPr>
                <w:highlight w:val="none"/>
              </w:rPr>
            </w:pPr>
          </w:p>
        </w:tc>
      </w:tr>
      <w:tr w14:paraId="54B11C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58759300">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07DE573B">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492E6440">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BED7370">
            <w:pPr>
              <w:pStyle w:val="5"/>
              <w:spacing w:line="360" w:lineRule="auto"/>
              <w:jc w:val="left"/>
              <w:rPr>
                <w:highlight w:val="none"/>
              </w:rPr>
            </w:pPr>
            <w:r>
              <w:rPr>
                <w:rFonts w:ascii="宋体" w:hAnsi="宋体" w:eastAsia="宋体" w:cs="宋体"/>
                <w:sz w:val="24"/>
                <w:highlight w:val="none"/>
              </w:rPr>
              <w:t>（7）主机系统安全加固辅导服务</w:t>
            </w:r>
          </w:p>
        </w:tc>
        <w:tc>
          <w:tcPr>
            <w:tcW w:w="1305" w:type="dxa"/>
            <w:vMerge w:val="continue"/>
            <w:tcBorders>
              <w:top w:val="nil"/>
              <w:left w:val="single" w:color="000000" w:sz="4" w:space="0"/>
              <w:bottom w:val="single" w:color="000000" w:sz="4" w:space="0"/>
              <w:right w:val="single" w:color="000000" w:sz="4" w:space="0"/>
            </w:tcBorders>
          </w:tcPr>
          <w:p w14:paraId="2BD16DAB">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44E5EB1F">
            <w:pPr>
              <w:spacing w:line="360" w:lineRule="auto"/>
              <w:rPr>
                <w:highlight w:val="none"/>
              </w:rPr>
            </w:pPr>
          </w:p>
        </w:tc>
      </w:tr>
      <w:tr w14:paraId="3B0EDD8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672" w:type="dxa"/>
            <w:vMerge w:val="continue"/>
            <w:tcBorders>
              <w:top w:val="nil"/>
              <w:left w:val="single" w:color="000000" w:sz="4" w:space="0"/>
              <w:bottom w:val="single" w:color="000000" w:sz="4" w:space="0"/>
              <w:right w:val="single" w:color="000000" w:sz="4" w:space="0"/>
            </w:tcBorders>
          </w:tcPr>
          <w:p w14:paraId="6443C833">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5C4D1D64">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1943D1E0">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0F4C5B2">
            <w:pPr>
              <w:pStyle w:val="5"/>
              <w:spacing w:line="360" w:lineRule="auto"/>
              <w:jc w:val="left"/>
              <w:rPr>
                <w:highlight w:val="none"/>
              </w:rPr>
            </w:pPr>
            <w:r>
              <w:rPr>
                <w:rFonts w:ascii="宋体" w:hAnsi="宋体" w:eastAsia="宋体" w:cs="宋体"/>
                <w:sz w:val="24"/>
                <w:highlight w:val="none"/>
              </w:rPr>
              <w:t>（8）中间件安全评估与配置加固建议服务</w:t>
            </w:r>
          </w:p>
        </w:tc>
        <w:tc>
          <w:tcPr>
            <w:tcW w:w="1305" w:type="dxa"/>
            <w:vMerge w:val="continue"/>
            <w:tcBorders>
              <w:top w:val="nil"/>
              <w:left w:val="single" w:color="000000" w:sz="4" w:space="0"/>
              <w:bottom w:val="single" w:color="000000" w:sz="4" w:space="0"/>
              <w:right w:val="single" w:color="000000" w:sz="4" w:space="0"/>
            </w:tcBorders>
          </w:tcPr>
          <w:p w14:paraId="248545DF">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30A90D86">
            <w:pPr>
              <w:spacing w:line="360" w:lineRule="auto"/>
              <w:rPr>
                <w:highlight w:val="none"/>
              </w:rPr>
            </w:pPr>
          </w:p>
        </w:tc>
      </w:tr>
      <w:tr w14:paraId="11A076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672" w:type="dxa"/>
            <w:vMerge w:val="continue"/>
            <w:tcBorders>
              <w:top w:val="nil"/>
              <w:left w:val="single" w:color="000000" w:sz="4" w:space="0"/>
              <w:bottom w:val="single" w:color="000000" w:sz="4" w:space="0"/>
              <w:right w:val="single" w:color="000000" w:sz="4" w:space="0"/>
            </w:tcBorders>
          </w:tcPr>
          <w:p w14:paraId="138E22A8">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7919E208">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54C30018">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53B05EE">
            <w:pPr>
              <w:pStyle w:val="5"/>
              <w:spacing w:line="360" w:lineRule="auto"/>
              <w:jc w:val="left"/>
              <w:rPr>
                <w:highlight w:val="none"/>
              </w:rPr>
            </w:pPr>
            <w:r>
              <w:rPr>
                <w:rFonts w:ascii="宋体" w:hAnsi="宋体" w:eastAsia="宋体" w:cs="宋体"/>
                <w:sz w:val="24"/>
                <w:highlight w:val="none"/>
              </w:rPr>
              <w:t>（9）数据库安全评估与配置加固建议服务</w:t>
            </w:r>
          </w:p>
        </w:tc>
        <w:tc>
          <w:tcPr>
            <w:tcW w:w="1305" w:type="dxa"/>
            <w:vMerge w:val="continue"/>
            <w:tcBorders>
              <w:top w:val="nil"/>
              <w:left w:val="single" w:color="000000" w:sz="4" w:space="0"/>
              <w:bottom w:val="single" w:color="000000" w:sz="4" w:space="0"/>
              <w:right w:val="single" w:color="000000" w:sz="4" w:space="0"/>
            </w:tcBorders>
          </w:tcPr>
          <w:p w14:paraId="529C2D91">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097A98FF">
            <w:pPr>
              <w:spacing w:line="360" w:lineRule="auto"/>
              <w:rPr>
                <w:highlight w:val="none"/>
              </w:rPr>
            </w:pPr>
          </w:p>
        </w:tc>
      </w:tr>
      <w:tr w14:paraId="4F83E3D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A955B9D">
            <w:pPr>
              <w:pStyle w:val="5"/>
              <w:spacing w:line="360" w:lineRule="auto"/>
              <w:jc w:val="center"/>
              <w:rPr>
                <w:highlight w:val="none"/>
              </w:rPr>
            </w:pPr>
            <w:r>
              <w:rPr>
                <w:rFonts w:ascii="宋体" w:hAnsi="宋体" w:eastAsia="宋体" w:cs="宋体"/>
                <w:sz w:val="24"/>
                <w:highlight w:val="none"/>
              </w:rPr>
              <w:t>3</w:t>
            </w:r>
          </w:p>
        </w:tc>
        <w:tc>
          <w:tcPr>
            <w:tcW w:w="1230"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E41FE3A">
            <w:pPr>
              <w:pStyle w:val="5"/>
              <w:spacing w:line="360" w:lineRule="auto"/>
              <w:jc w:val="center"/>
              <w:rPr>
                <w:highlight w:val="none"/>
              </w:rPr>
            </w:pPr>
            <w:r>
              <w:rPr>
                <w:rFonts w:ascii="宋体" w:hAnsi="宋体" w:eastAsia="宋体" w:cs="宋体"/>
                <w:sz w:val="24"/>
                <w:highlight w:val="none"/>
              </w:rPr>
              <w:t>应用安全检测服务</w:t>
            </w:r>
          </w:p>
        </w:tc>
        <w:tc>
          <w:tcPr>
            <w:tcW w:w="1229"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E4AF896">
            <w:pPr>
              <w:pStyle w:val="5"/>
              <w:spacing w:line="360" w:lineRule="auto"/>
              <w:jc w:val="center"/>
              <w:rPr>
                <w:highlight w:val="none"/>
              </w:rPr>
            </w:pPr>
            <w:r>
              <w:rPr>
                <w:rFonts w:ascii="宋体" w:hAnsi="宋体" w:eastAsia="宋体" w:cs="宋体"/>
                <w:sz w:val="24"/>
                <w:highlight w:val="none"/>
              </w:rPr>
              <w:t>互联网网站安全监测服务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0915C1D">
            <w:pPr>
              <w:pStyle w:val="5"/>
              <w:spacing w:line="360" w:lineRule="auto"/>
              <w:jc w:val="left"/>
              <w:rPr>
                <w:highlight w:val="none"/>
              </w:rPr>
            </w:pPr>
            <w:r>
              <w:rPr>
                <w:rFonts w:ascii="宋体" w:hAnsi="宋体" w:eastAsia="宋体" w:cs="宋体"/>
                <w:sz w:val="24"/>
                <w:highlight w:val="none"/>
              </w:rPr>
              <w:t>（1）可用性监测服务</w:t>
            </w:r>
          </w:p>
        </w:tc>
        <w:tc>
          <w:tcPr>
            <w:tcW w:w="1305"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792F026">
            <w:pPr>
              <w:pStyle w:val="5"/>
              <w:spacing w:line="360" w:lineRule="auto"/>
              <w:jc w:val="center"/>
              <w:rPr>
                <w:highlight w:val="none"/>
              </w:rPr>
            </w:pPr>
            <w:r>
              <w:rPr>
                <w:rFonts w:ascii="宋体" w:hAnsi="宋体" w:eastAsia="宋体" w:cs="宋体"/>
                <w:sz w:val="24"/>
                <w:highlight w:val="none"/>
              </w:rPr>
              <w:t>全年</w:t>
            </w:r>
          </w:p>
        </w:tc>
        <w:tc>
          <w:tcPr>
            <w:tcW w:w="1826"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83C0FFF">
            <w:pPr>
              <w:pStyle w:val="5"/>
              <w:spacing w:line="360" w:lineRule="auto"/>
              <w:jc w:val="center"/>
              <w:rPr>
                <w:highlight w:val="none"/>
              </w:rPr>
            </w:pPr>
            <w:r>
              <w:rPr>
                <w:rFonts w:ascii="宋体" w:hAnsi="宋体" w:eastAsia="宋体" w:cs="宋体"/>
                <w:sz w:val="24"/>
                <w:highlight w:val="none"/>
              </w:rPr>
              <w:t>《互联网网站安全监测报告》</w:t>
            </w:r>
          </w:p>
        </w:tc>
      </w:tr>
      <w:tr w14:paraId="3FAC23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7BE6B275">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0F118D3E">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1CCF64E0">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13A04E3">
            <w:pPr>
              <w:pStyle w:val="5"/>
              <w:spacing w:line="360" w:lineRule="auto"/>
              <w:jc w:val="left"/>
              <w:rPr>
                <w:highlight w:val="none"/>
              </w:rPr>
            </w:pPr>
            <w:r>
              <w:rPr>
                <w:rFonts w:ascii="宋体" w:hAnsi="宋体" w:eastAsia="宋体" w:cs="宋体"/>
                <w:sz w:val="24"/>
                <w:highlight w:val="none"/>
              </w:rPr>
              <w:t>（2）合规性监测服务</w:t>
            </w:r>
          </w:p>
        </w:tc>
        <w:tc>
          <w:tcPr>
            <w:tcW w:w="1305" w:type="dxa"/>
            <w:vMerge w:val="continue"/>
            <w:tcBorders>
              <w:top w:val="nil"/>
              <w:left w:val="single" w:color="000000" w:sz="4" w:space="0"/>
              <w:bottom w:val="single" w:color="000000" w:sz="4" w:space="0"/>
              <w:right w:val="single" w:color="000000" w:sz="4" w:space="0"/>
            </w:tcBorders>
          </w:tcPr>
          <w:p w14:paraId="14AEC38B">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5C644902">
            <w:pPr>
              <w:spacing w:line="360" w:lineRule="auto"/>
              <w:rPr>
                <w:highlight w:val="none"/>
              </w:rPr>
            </w:pPr>
          </w:p>
        </w:tc>
      </w:tr>
      <w:tr w14:paraId="6AC8D47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2" w:type="dxa"/>
            <w:vMerge w:val="continue"/>
            <w:tcBorders>
              <w:top w:val="nil"/>
              <w:left w:val="single" w:color="000000" w:sz="4" w:space="0"/>
              <w:bottom w:val="single" w:color="000000" w:sz="4" w:space="0"/>
              <w:right w:val="single" w:color="000000" w:sz="4" w:space="0"/>
            </w:tcBorders>
          </w:tcPr>
          <w:p w14:paraId="3113BF1D">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681EB433">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0E127E3D">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B499A81">
            <w:pPr>
              <w:pStyle w:val="5"/>
              <w:spacing w:line="360" w:lineRule="auto"/>
              <w:jc w:val="left"/>
              <w:rPr>
                <w:highlight w:val="none"/>
              </w:rPr>
            </w:pPr>
            <w:r>
              <w:rPr>
                <w:rFonts w:ascii="宋体" w:hAnsi="宋体" w:eastAsia="宋体" w:cs="宋体"/>
                <w:sz w:val="24"/>
                <w:highlight w:val="none"/>
              </w:rPr>
              <w:t>（3）安全性检测服务</w:t>
            </w:r>
          </w:p>
        </w:tc>
        <w:tc>
          <w:tcPr>
            <w:tcW w:w="130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737B879">
            <w:pPr>
              <w:pStyle w:val="5"/>
              <w:spacing w:line="360" w:lineRule="auto"/>
              <w:jc w:val="center"/>
              <w:rPr>
                <w:highlight w:val="none"/>
              </w:rPr>
            </w:pPr>
            <w:r>
              <w:rPr>
                <w:rFonts w:ascii="宋体" w:hAnsi="宋体" w:eastAsia="宋体" w:cs="宋体"/>
                <w:sz w:val="24"/>
                <w:highlight w:val="none"/>
              </w:rPr>
              <w:t>1次/季度</w:t>
            </w:r>
          </w:p>
        </w:tc>
        <w:tc>
          <w:tcPr>
            <w:tcW w:w="1826" w:type="dxa"/>
            <w:vMerge w:val="continue"/>
            <w:tcBorders>
              <w:top w:val="nil"/>
              <w:left w:val="single" w:color="000000" w:sz="4" w:space="0"/>
              <w:bottom w:val="single" w:color="000000" w:sz="4" w:space="0"/>
              <w:right w:val="single" w:color="000000" w:sz="4" w:space="0"/>
            </w:tcBorders>
          </w:tcPr>
          <w:p w14:paraId="1C6026F0">
            <w:pPr>
              <w:spacing w:line="360" w:lineRule="auto"/>
              <w:rPr>
                <w:highlight w:val="none"/>
              </w:rPr>
            </w:pPr>
          </w:p>
        </w:tc>
      </w:tr>
      <w:tr w14:paraId="71FD10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0F50E957">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2F41E0A1">
            <w:pPr>
              <w:spacing w:line="360" w:lineRule="auto"/>
              <w:rPr>
                <w:highlight w:val="none"/>
              </w:rPr>
            </w:pPr>
          </w:p>
        </w:tc>
        <w:tc>
          <w:tcPr>
            <w:tcW w:w="1229"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CDE167E">
            <w:pPr>
              <w:pStyle w:val="5"/>
              <w:spacing w:line="360" w:lineRule="auto"/>
              <w:jc w:val="center"/>
              <w:rPr>
                <w:highlight w:val="none"/>
              </w:rPr>
            </w:pPr>
            <w:r>
              <w:rPr>
                <w:rFonts w:ascii="宋体" w:hAnsi="宋体" w:eastAsia="宋体" w:cs="宋体"/>
                <w:sz w:val="24"/>
                <w:highlight w:val="none"/>
              </w:rPr>
              <w:t>应用系统安全检测服务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F662C9F">
            <w:pPr>
              <w:pStyle w:val="5"/>
              <w:spacing w:line="360" w:lineRule="auto"/>
              <w:jc w:val="left"/>
              <w:rPr>
                <w:highlight w:val="none"/>
              </w:rPr>
            </w:pPr>
            <w:r>
              <w:rPr>
                <w:rFonts w:ascii="宋体" w:hAnsi="宋体" w:eastAsia="宋体" w:cs="宋体"/>
                <w:sz w:val="24"/>
                <w:highlight w:val="none"/>
              </w:rPr>
              <w:t>（1）应用安全漏洞扫描服务</w:t>
            </w:r>
          </w:p>
        </w:tc>
        <w:tc>
          <w:tcPr>
            <w:tcW w:w="1305"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525101A">
            <w:pPr>
              <w:pStyle w:val="5"/>
              <w:spacing w:line="360" w:lineRule="auto"/>
              <w:jc w:val="center"/>
              <w:rPr>
                <w:highlight w:val="none"/>
              </w:rPr>
            </w:pPr>
            <w:r>
              <w:rPr>
                <w:rFonts w:ascii="宋体" w:hAnsi="宋体" w:eastAsia="宋体" w:cs="宋体"/>
                <w:sz w:val="24"/>
                <w:highlight w:val="none"/>
              </w:rPr>
              <w:t>1次/季度</w:t>
            </w:r>
          </w:p>
        </w:tc>
        <w:tc>
          <w:tcPr>
            <w:tcW w:w="1826"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48F3C6D">
            <w:pPr>
              <w:pStyle w:val="5"/>
              <w:spacing w:line="360" w:lineRule="auto"/>
              <w:jc w:val="center"/>
              <w:rPr>
                <w:highlight w:val="none"/>
              </w:rPr>
            </w:pPr>
            <w:r>
              <w:rPr>
                <w:rFonts w:ascii="宋体" w:hAnsi="宋体" w:eastAsia="宋体" w:cs="宋体"/>
                <w:sz w:val="24"/>
                <w:highlight w:val="none"/>
              </w:rPr>
              <w:t>《应用安全检测报告》</w:t>
            </w:r>
          </w:p>
        </w:tc>
      </w:tr>
      <w:tr w14:paraId="78B228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4643927F">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4DF04A05">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71A3E86C">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25CF7CF">
            <w:pPr>
              <w:pStyle w:val="5"/>
              <w:spacing w:line="360" w:lineRule="auto"/>
              <w:jc w:val="left"/>
              <w:rPr>
                <w:highlight w:val="none"/>
              </w:rPr>
            </w:pPr>
            <w:r>
              <w:rPr>
                <w:rFonts w:ascii="宋体" w:hAnsi="宋体" w:eastAsia="宋体" w:cs="宋体"/>
                <w:sz w:val="24"/>
                <w:highlight w:val="none"/>
              </w:rPr>
              <w:t>（2）应用安全漏洞验证服务</w:t>
            </w:r>
          </w:p>
        </w:tc>
        <w:tc>
          <w:tcPr>
            <w:tcW w:w="1305" w:type="dxa"/>
            <w:vMerge w:val="continue"/>
            <w:tcBorders>
              <w:top w:val="nil"/>
              <w:left w:val="single" w:color="000000" w:sz="4" w:space="0"/>
              <w:bottom w:val="single" w:color="000000" w:sz="4" w:space="0"/>
              <w:right w:val="single" w:color="000000" w:sz="4" w:space="0"/>
            </w:tcBorders>
          </w:tcPr>
          <w:p w14:paraId="36F79205">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1E4D5A56">
            <w:pPr>
              <w:spacing w:line="360" w:lineRule="auto"/>
              <w:rPr>
                <w:highlight w:val="none"/>
              </w:rPr>
            </w:pPr>
          </w:p>
        </w:tc>
      </w:tr>
      <w:tr w14:paraId="127987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24" w:hRule="atLeast"/>
        </w:trPr>
        <w:tc>
          <w:tcPr>
            <w:tcW w:w="672" w:type="dxa"/>
            <w:vMerge w:val="continue"/>
            <w:tcBorders>
              <w:top w:val="nil"/>
              <w:left w:val="single" w:color="000000" w:sz="4" w:space="0"/>
              <w:bottom w:val="single" w:color="000000" w:sz="4" w:space="0"/>
              <w:right w:val="single" w:color="000000" w:sz="4" w:space="0"/>
            </w:tcBorders>
          </w:tcPr>
          <w:p w14:paraId="7EDE4B75">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4B3EA565">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051F0D67">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59D100D">
            <w:pPr>
              <w:pStyle w:val="5"/>
              <w:spacing w:line="360" w:lineRule="auto"/>
              <w:jc w:val="left"/>
              <w:rPr>
                <w:highlight w:val="none"/>
              </w:rPr>
            </w:pPr>
            <w:r>
              <w:rPr>
                <w:rFonts w:ascii="宋体" w:hAnsi="宋体" w:eastAsia="宋体" w:cs="宋体"/>
                <w:sz w:val="24"/>
                <w:highlight w:val="none"/>
              </w:rPr>
              <w:t>（3）应用安全漏洞加固辅导服务</w:t>
            </w:r>
          </w:p>
        </w:tc>
        <w:tc>
          <w:tcPr>
            <w:tcW w:w="1305" w:type="dxa"/>
            <w:vMerge w:val="continue"/>
            <w:tcBorders>
              <w:top w:val="nil"/>
              <w:left w:val="single" w:color="000000" w:sz="4" w:space="0"/>
              <w:bottom w:val="single" w:color="000000" w:sz="4" w:space="0"/>
              <w:right w:val="single" w:color="000000" w:sz="4" w:space="0"/>
            </w:tcBorders>
          </w:tcPr>
          <w:p w14:paraId="2233B9FF">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1839CAE6">
            <w:pPr>
              <w:spacing w:line="360" w:lineRule="auto"/>
              <w:rPr>
                <w:highlight w:val="none"/>
              </w:rPr>
            </w:pPr>
          </w:p>
        </w:tc>
      </w:tr>
      <w:tr w14:paraId="2077F01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772CF0E2">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5C39868A">
            <w:pPr>
              <w:spacing w:line="360" w:lineRule="auto"/>
              <w:rPr>
                <w:highlight w:val="none"/>
              </w:rPr>
            </w:pPr>
          </w:p>
        </w:tc>
        <w:tc>
          <w:tcPr>
            <w:tcW w:w="1229"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AB613EB">
            <w:pPr>
              <w:pStyle w:val="5"/>
              <w:spacing w:line="360" w:lineRule="auto"/>
              <w:jc w:val="center"/>
              <w:rPr>
                <w:highlight w:val="none"/>
              </w:rPr>
            </w:pPr>
            <w:r>
              <w:rPr>
                <w:rFonts w:ascii="宋体" w:hAnsi="宋体" w:eastAsia="宋体" w:cs="宋体"/>
                <w:sz w:val="24"/>
                <w:highlight w:val="none"/>
              </w:rPr>
              <w:t>安全渗透测试服务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3D647E2">
            <w:pPr>
              <w:pStyle w:val="5"/>
              <w:spacing w:line="360" w:lineRule="auto"/>
              <w:jc w:val="left"/>
              <w:rPr>
                <w:highlight w:val="none"/>
              </w:rPr>
            </w:pPr>
            <w:r>
              <w:rPr>
                <w:rFonts w:ascii="宋体" w:hAnsi="宋体" w:eastAsia="宋体" w:cs="宋体"/>
                <w:sz w:val="24"/>
                <w:highlight w:val="none"/>
              </w:rPr>
              <w:t>（1）网站安全渗透测试服务</w:t>
            </w:r>
          </w:p>
        </w:tc>
        <w:tc>
          <w:tcPr>
            <w:tcW w:w="1305"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F4C84C5">
            <w:pPr>
              <w:pStyle w:val="5"/>
              <w:spacing w:line="360" w:lineRule="auto"/>
              <w:jc w:val="center"/>
              <w:rPr>
                <w:highlight w:val="none"/>
              </w:rPr>
            </w:pPr>
            <w:r>
              <w:rPr>
                <w:rFonts w:ascii="宋体" w:hAnsi="宋体" w:eastAsia="宋体" w:cs="宋体"/>
                <w:sz w:val="24"/>
                <w:highlight w:val="none"/>
              </w:rPr>
              <w:t>1次/半年</w:t>
            </w:r>
          </w:p>
        </w:tc>
        <w:tc>
          <w:tcPr>
            <w:tcW w:w="1826"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15813C8">
            <w:pPr>
              <w:pStyle w:val="5"/>
              <w:spacing w:line="360" w:lineRule="auto"/>
              <w:jc w:val="center"/>
              <w:rPr>
                <w:highlight w:val="none"/>
              </w:rPr>
            </w:pPr>
            <w:r>
              <w:rPr>
                <w:rFonts w:ascii="宋体" w:hAnsi="宋体" w:eastAsia="宋体" w:cs="宋体"/>
                <w:sz w:val="24"/>
                <w:highlight w:val="none"/>
              </w:rPr>
              <w:t>《安全渗透测试报告》</w:t>
            </w:r>
          </w:p>
        </w:tc>
      </w:tr>
      <w:tr w14:paraId="38193D0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7AB3F232">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4BA57ECF">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5F30BFCD">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229DD8C">
            <w:pPr>
              <w:pStyle w:val="5"/>
              <w:spacing w:line="360" w:lineRule="auto"/>
              <w:jc w:val="left"/>
              <w:rPr>
                <w:highlight w:val="none"/>
              </w:rPr>
            </w:pPr>
            <w:r>
              <w:rPr>
                <w:rFonts w:ascii="宋体" w:hAnsi="宋体" w:eastAsia="宋体" w:cs="宋体"/>
                <w:sz w:val="24"/>
                <w:highlight w:val="none"/>
              </w:rPr>
              <w:t>（2）应用安全渗透测试服务</w:t>
            </w:r>
          </w:p>
        </w:tc>
        <w:tc>
          <w:tcPr>
            <w:tcW w:w="1305" w:type="dxa"/>
            <w:vMerge w:val="continue"/>
            <w:tcBorders>
              <w:top w:val="nil"/>
              <w:left w:val="single" w:color="000000" w:sz="4" w:space="0"/>
              <w:bottom w:val="single" w:color="000000" w:sz="4" w:space="0"/>
              <w:right w:val="single" w:color="000000" w:sz="4" w:space="0"/>
            </w:tcBorders>
          </w:tcPr>
          <w:p w14:paraId="70195709">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32B3662E">
            <w:pPr>
              <w:spacing w:line="360" w:lineRule="auto"/>
              <w:rPr>
                <w:highlight w:val="none"/>
              </w:rPr>
            </w:pPr>
          </w:p>
        </w:tc>
      </w:tr>
      <w:tr w14:paraId="5562B8D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0E61DA27">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0C07DFAC">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7CB36666">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D3D657D">
            <w:pPr>
              <w:pStyle w:val="5"/>
              <w:spacing w:line="360" w:lineRule="auto"/>
              <w:jc w:val="left"/>
              <w:rPr>
                <w:highlight w:val="none"/>
              </w:rPr>
            </w:pPr>
            <w:r>
              <w:rPr>
                <w:rFonts w:ascii="宋体" w:hAnsi="宋体" w:eastAsia="宋体" w:cs="宋体"/>
                <w:sz w:val="24"/>
                <w:highlight w:val="none"/>
              </w:rPr>
              <w:t>（3）安全加固建议及辅导服务</w:t>
            </w:r>
          </w:p>
        </w:tc>
        <w:tc>
          <w:tcPr>
            <w:tcW w:w="1305" w:type="dxa"/>
            <w:vMerge w:val="continue"/>
            <w:tcBorders>
              <w:top w:val="nil"/>
              <w:left w:val="single" w:color="000000" w:sz="4" w:space="0"/>
              <w:bottom w:val="single" w:color="000000" w:sz="4" w:space="0"/>
              <w:right w:val="single" w:color="000000" w:sz="4" w:space="0"/>
            </w:tcBorders>
          </w:tcPr>
          <w:p w14:paraId="04B8122F">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21C12506">
            <w:pPr>
              <w:spacing w:line="360" w:lineRule="auto"/>
              <w:rPr>
                <w:highlight w:val="none"/>
              </w:rPr>
            </w:pPr>
          </w:p>
        </w:tc>
      </w:tr>
      <w:tr w14:paraId="779EB8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8C70150">
            <w:pPr>
              <w:pStyle w:val="5"/>
              <w:spacing w:line="360" w:lineRule="auto"/>
              <w:jc w:val="center"/>
              <w:rPr>
                <w:highlight w:val="none"/>
              </w:rPr>
            </w:pPr>
            <w:r>
              <w:rPr>
                <w:rFonts w:ascii="宋体" w:hAnsi="宋体" w:eastAsia="宋体" w:cs="宋体"/>
                <w:sz w:val="24"/>
                <w:highlight w:val="none"/>
              </w:rPr>
              <w:t>4</w:t>
            </w:r>
          </w:p>
        </w:tc>
        <w:tc>
          <w:tcPr>
            <w:tcW w:w="1230"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ADFE11A">
            <w:pPr>
              <w:pStyle w:val="5"/>
              <w:spacing w:line="360" w:lineRule="auto"/>
              <w:jc w:val="center"/>
              <w:rPr>
                <w:highlight w:val="none"/>
              </w:rPr>
            </w:pPr>
            <w:r>
              <w:rPr>
                <w:rFonts w:ascii="宋体" w:hAnsi="宋体" w:eastAsia="宋体" w:cs="宋体"/>
                <w:sz w:val="24"/>
                <w:highlight w:val="none"/>
              </w:rPr>
              <w:t>综合安全保障服务</w:t>
            </w:r>
          </w:p>
        </w:tc>
        <w:tc>
          <w:tcPr>
            <w:tcW w:w="1229"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3FE15EF">
            <w:pPr>
              <w:pStyle w:val="5"/>
              <w:spacing w:line="360" w:lineRule="auto"/>
              <w:jc w:val="center"/>
              <w:rPr>
                <w:highlight w:val="none"/>
              </w:rPr>
            </w:pPr>
            <w:r>
              <w:rPr>
                <w:rFonts w:ascii="宋体" w:hAnsi="宋体" w:eastAsia="宋体" w:cs="宋体"/>
                <w:sz w:val="24"/>
                <w:highlight w:val="none"/>
              </w:rPr>
              <w:t>安全应急演练服务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3D9BA99">
            <w:pPr>
              <w:pStyle w:val="5"/>
              <w:spacing w:line="360" w:lineRule="auto"/>
              <w:jc w:val="left"/>
              <w:rPr>
                <w:highlight w:val="none"/>
              </w:rPr>
            </w:pPr>
            <w:r>
              <w:rPr>
                <w:rFonts w:ascii="宋体" w:hAnsi="宋体" w:eastAsia="宋体" w:cs="宋体"/>
                <w:sz w:val="24"/>
                <w:highlight w:val="none"/>
              </w:rPr>
              <w:t>（1）应用应急预案设计服务</w:t>
            </w:r>
          </w:p>
        </w:tc>
        <w:tc>
          <w:tcPr>
            <w:tcW w:w="1305"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26E0D6C">
            <w:pPr>
              <w:pStyle w:val="5"/>
              <w:spacing w:line="360" w:lineRule="auto"/>
              <w:jc w:val="center"/>
              <w:rPr>
                <w:highlight w:val="none"/>
              </w:rPr>
            </w:pPr>
            <w:r>
              <w:rPr>
                <w:rFonts w:ascii="宋体" w:hAnsi="宋体" w:eastAsia="宋体" w:cs="宋体"/>
                <w:sz w:val="24"/>
                <w:highlight w:val="none"/>
              </w:rPr>
              <w:t>1次/年</w:t>
            </w:r>
          </w:p>
        </w:tc>
        <w:tc>
          <w:tcPr>
            <w:tcW w:w="1826"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AA05466">
            <w:pPr>
              <w:pStyle w:val="5"/>
              <w:spacing w:line="360" w:lineRule="auto"/>
              <w:jc w:val="center"/>
              <w:rPr>
                <w:highlight w:val="none"/>
              </w:rPr>
            </w:pPr>
            <w:r>
              <w:rPr>
                <w:rFonts w:ascii="宋体" w:hAnsi="宋体" w:eastAsia="宋体" w:cs="宋体"/>
                <w:sz w:val="24"/>
                <w:highlight w:val="none"/>
              </w:rPr>
              <w:t>《安全应急预案》、《安全应急演练报告》</w:t>
            </w:r>
          </w:p>
        </w:tc>
      </w:tr>
      <w:tr w14:paraId="5EEAA7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672" w:type="dxa"/>
            <w:vMerge w:val="continue"/>
            <w:tcBorders>
              <w:top w:val="nil"/>
              <w:left w:val="single" w:color="000000" w:sz="4" w:space="0"/>
              <w:bottom w:val="single" w:color="000000" w:sz="4" w:space="0"/>
              <w:right w:val="single" w:color="000000" w:sz="4" w:space="0"/>
            </w:tcBorders>
          </w:tcPr>
          <w:p w14:paraId="4FFC27A9">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24471288">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3D9424C9">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69B5E6D">
            <w:pPr>
              <w:pStyle w:val="5"/>
              <w:spacing w:line="360" w:lineRule="auto"/>
              <w:jc w:val="left"/>
              <w:rPr>
                <w:highlight w:val="none"/>
              </w:rPr>
            </w:pPr>
            <w:r>
              <w:rPr>
                <w:rFonts w:ascii="宋体" w:hAnsi="宋体" w:eastAsia="宋体" w:cs="宋体"/>
                <w:sz w:val="24"/>
                <w:highlight w:val="none"/>
              </w:rPr>
              <w:t>（2）应用应急演练服务</w:t>
            </w:r>
          </w:p>
        </w:tc>
        <w:tc>
          <w:tcPr>
            <w:tcW w:w="1305" w:type="dxa"/>
            <w:vMerge w:val="continue"/>
            <w:tcBorders>
              <w:top w:val="nil"/>
              <w:left w:val="single" w:color="000000" w:sz="4" w:space="0"/>
              <w:bottom w:val="single" w:color="000000" w:sz="4" w:space="0"/>
              <w:right w:val="single" w:color="000000" w:sz="4" w:space="0"/>
            </w:tcBorders>
          </w:tcPr>
          <w:p w14:paraId="4C04D430">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27A16EE2">
            <w:pPr>
              <w:spacing w:line="360" w:lineRule="auto"/>
              <w:rPr>
                <w:highlight w:val="none"/>
              </w:rPr>
            </w:pPr>
          </w:p>
        </w:tc>
      </w:tr>
      <w:tr w14:paraId="509718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0F6B922A">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3A76637E">
            <w:pPr>
              <w:spacing w:line="360" w:lineRule="auto"/>
              <w:rPr>
                <w:highlight w:val="none"/>
              </w:rPr>
            </w:pPr>
          </w:p>
        </w:tc>
        <w:tc>
          <w:tcPr>
            <w:tcW w:w="1229"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9F2CFA0">
            <w:pPr>
              <w:pStyle w:val="5"/>
              <w:spacing w:line="360" w:lineRule="auto"/>
              <w:jc w:val="center"/>
              <w:rPr>
                <w:highlight w:val="none"/>
              </w:rPr>
            </w:pPr>
            <w:r>
              <w:rPr>
                <w:rFonts w:ascii="宋体" w:hAnsi="宋体" w:eastAsia="宋体" w:cs="宋体"/>
                <w:sz w:val="24"/>
                <w:highlight w:val="none"/>
              </w:rPr>
              <w:t>安全应急响应服务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8AF967D">
            <w:pPr>
              <w:pStyle w:val="5"/>
              <w:spacing w:line="360" w:lineRule="auto"/>
              <w:jc w:val="left"/>
              <w:rPr>
                <w:highlight w:val="none"/>
              </w:rPr>
            </w:pPr>
            <w:r>
              <w:rPr>
                <w:rFonts w:ascii="宋体" w:hAnsi="宋体" w:eastAsia="宋体" w:cs="宋体"/>
                <w:sz w:val="24"/>
                <w:highlight w:val="none"/>
              </w:rPr>
              <w:t>（1）安全应急响应服务</w:t>
            </w:r>
          </w:p>
        </w:tc>
        <w:tc>
          <w:tcPr>
            <w:tcW w:w="1305"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FE5DF7E">
            <w:pPr>
              <w:pStyle w:val="5"/>
              <w:spacing w:line="360" w:lineRule="auto"/>
              <w:jc w:val="center"/>
              <w:rPr>
                <w:highlight w:val="none"/>
              </w:rPr>
            </w:pPr>
            <w:r>
              <w:rPr>
                <w:rFonts w:ascii="宋体" w:hAnsi="宋体" w:eastAsia="宋体" w:cs="宋体"/>
                <w:sz w:val="24"/>
                <w:highlight w:val="none"/>
              </w:rPr>
              <w:t>全年</w:t>
            </w:r>
          </w:p>
        </w:tc>
        <w:tc>
          <w:tcPr>
            <w:tcW w:w="1826" w:type="dxa"/>
            <w:vMerge w:val="restart"/>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1CBC2B6">
            <w:pPr>
              <w:pStyle w:val="5"/>
              <w:spacing w:line="360" w:lineRule="auto"/>
              <w:jc w:val="center"/>
              <w:rPr>
                <w:highlight w:val="none"/>
              </w:rPr>
            </w:pPr>
            <w:r>
              <w:rPr>
                <w:rFonts w:ascii="宋体" w:hAnsi="宋体" w:eastAsia="宋体" w:cs="宋体"/>
                <w:sz w:val="24"/>
                <w:highlight w:val="none"/>
              </w:rPr>
              <w:t>发生安全事件应急响应后提交《安全应急响应报告》</w:t>
            </w:r>
          </w:p>
        </w:tc>
      </w:tr>
      <w:tr w14:paraId="4214228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6D53FAF1">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1A94913B">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31070E64">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87E49F3">
            <w:pPr>
              <w:pStyle w:val="5"/>
              <w:spacing w:line="360" w:lineRule="auto"/>
              <w:jc w:val="left"/>
              <w:rPr>
                <w:highlight w:val="none"/>
              </w:rPr>
            </w:pPr>
            <w:r>
              <w:rPr>
                <w:rFonts w:ascii="宋体" w:hAnsi="宋体" w:eastAsia="宋体" w:cs="宋体"/>
                <w:sz w:val="24"/>
                <w:highlight w:val="none"/>
              </w:rPr>
              <w:t>（2）安全应急处置服务</w:t>
            </w:r>
          </w:p>
        </w:tc>
        <w:tc>
          <w:tcPr>
            <w:tcW w:w="1305" w:type="dxa"/>
            <w:vMerge w:val="continue"/>
            <w:tcBorders>
              <w:top w:val="nil"/>
              <w:left w:val="single" w:color="000000" w:sz="4" w:space="0"/>
              <w:bottom w:val="single" w:color="000000" w:sz="4" w:space="0"/>
              <w:right w:val="single" w:color="000000" w:sz="4" w:space="0"/>
            </w:tcBorders>
          </w:tcPr>
          <w:p w14:paraId="0D91E473">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498DDF63">
            <w:pPr>
              <w:spacing w:line="360" w:lineRule="auto"/>
              <w:rPr>
                <w:highlight w:val="none"/>
              </w:rPr>
            </w:pPr>
          </w:p>
        </w:tc>
      </w:tr>
      <w:tr w14:paraId="785C39C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672" w:type="dxa"/>
            <w:vMerge w:val="continue"/>
            <w:tcBorders>
              <w:top w:val="nil"/>
              <w:left w:val="single" w:color="000000" w:sz="4" w:space="0"/>
              <w:bottom w:val="single" w:color="000000" w:sz="4" w:space="0"/>
              <w:right w:val="single" w:color="000000" w:sz="4" w:space="0"/>
            </w:tcBorders>
          </w:tcPr>
          <w:p w14:paraId="1A034761">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537EF4F5">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1021BC63">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F040978">
            <w:pPr>
              <w:pStyle w:val="5"/>
              <w:spacing w:line="360" w:lineRule="auto"/>
              <w:jc w:val="left"/>
              <w:rPr>
                <w:highlight w:val="none"/>
              </w:rPr>
            </w:pPr>
            <w:r>
              <w:rPr>
                <w:rFonts w:ascii="宋体" w:hAnsi="宋体" w:eastAsia="宋体" w:cs="宋体"/>
                <w:sz w:val="24"/>
                <w:highlight w:val="none"/>
              </w:rPr>
              <w:t>（3）远程安全咨询服务</w:t>
            </w:r>
          </w:p>
        </w:tc>
        <w:tc>
          <w:tcPr>
            <w:tcW w:w="1305" w:type="dxa"/>
            <w:vMerge w:val="continue"/>
            <w:tcBorders>
              <w:top w:val="nil"/>
              <w:left w:val="single" w:color="000000" w:sz="4" w:space="0"/>
              <w:bottom w:val="single" w:color="000000" w:sz="4" w:space="0"/>
              <w:right w:val="single" w:color="000000" w:sz="4" w:space="0"/>
            </w:tcBorders>
          </w:tcPr>
          <w:p w14:paraId="336243EA">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0725448A">
            <w:pPr>
              <w:spacing w:line="360" w:lineRule="auto"/>
              <w:rPr>
                <w:highlight w:val="none"/>
              </w:rPr>
            </w:pPr>
          </w:p>
        </w:tc>
      </w:tr>
      <w:tr w14:paraId="4FCAD83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528" w:hRule="atLeast"/>
        </w:trPr>
        <w:tc>
          <w:tcPr>
            <w:tcW w:w="672" w:type="dxa"/>
            <w:vMerge w:val="continue"/>
            <w:tcBorders>
              <w:top w:val="nil"/>
              <w:left w:val="single" w:color="000000" w:sz="4" w:space="0"/>
              <w:bottom w:val="single" w:color="000000" w:sz="4" w:space="0"/>
              <w:right w:val="single" w:color="000000" w:sz="4" w:space="0"/>
            </w:tcBorders>
          </w:tcPr>
          <w:p w14:paraId="44F1D189">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765BF51A">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74E2F53E">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4E40BEE">
            <w:pPr>
              <w:pStyle w:val="5"/>
              <w:spacing w:line="360" w:lineRule="auto"/>
              <w:jc w:val="left"/>
              <w:rPr>
                <w:highlight w:val="none"/>
              </w:rPr>
            </w:pPr>
            <w:r>
              <w:rPr>
                <w:rFonts w:ascii="宋体" w:hAnsi="宋体" w:eastAsia="宋体" w:cs="宋体"/>
                <w:sz w:val="24"/>
                <w:highlight w:val="none"/>
              </w:rPr>
              <w:t>（4）网络安全设备应急服务</w:t>
            </w:r>
          </w:p>
        </w:tc>
        <w:tc>
          <w:tcPr>
            <w:tcW w:w="13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3C77F6">
            <w:pPr>
              <w:pStyle w:val="5"/>
              <w:spacing w:line="360" w:lineRule="auto"/>
              <w:jc w:val="center"/>
              <w:rPr>
                <w:highlight w:val="none"/>
              </w:rPr>
            </w:pPr>
            <w:r>
              <w:rPr>
                <w:rFonts w:ascii="宋体" w:hAnsi="宋体" w:eastAsia="宋体" w:cs="宋体"/>
                <w:sz w:val="24"/>
                <w:highlight w:val="none"/>
              </w:rPr>
              <w:t>全年</w:t>
            </w:r>
          </w:p>
        </w:tc>
        <w:tc>
          <w:tcPr>
            <w:tcW w:w="1826" w:type="dxa"/>
            <w:vMerge w:val="continue"/>
            <w:tcBorders>
              <w:top w:val="nil"/>
              <w:left w:val="single" w:color="000000" w:sz="4" w:space="0"/>
              <w:bottom w:val="single" w:color="000000" w:sz="4" w:space="0"/>
              <w:right w:val="single" w:color="000000" w:sz="4" w:space="0"/>
            </w:tcBorders>
          </w:tcPr>
          <w:p w14:paraId="377798F4">
            <w:pPr>
              <w:spacing w:line="360" w:lineRule="auto"/>
              <w:rPr>
                <w:highlight w:val="none"/>
              </w:rPr>
            </w:pPr>
          </w:p>
        </w:tc>
      </w:tr>
      <w:tr w14:paraId="7892617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871" w:hRule="atLeast"/>
        </w:trPr>
        <w:tc>
          <w:tcPr>
            <w:tcW w:w="672" w:type="dxa"/>
            <w:vMerge w:val="continue"/>
            <w:tcBorders>
              <w:top w:val="nil"/>
              <w:left w:val="single" w:color="000000" w:sz="4" w:space="0"/>
              <w:bottom w:val="single" w:color="000000" w:sz="4" w:space="0"/>
              <w:right w:val="single" w:color="000000" w:sz="4" w:space="0"/>
            </w:tcBorders>
          </w:tcPr>
          <w:p w14:paraId="1FC79D0C">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3F990DBA">
            <w:pPr>
              <w:spacing w:line="360" w:lineRule="auto"/>
              <w:rPr>
                <w:highlight w:val="none"/>
              </w:rPr>
            </w:pPr>
          </w:p>
        </w:tc>
        <w:tc>
          <w:tcPr>
            <w:tcW w:w="12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0F8934C">
            <w:pPr>
              <w:pStyle w:val="5"/>
              <w:spacing w:line="360" w:lineRule="auto"/>
              <w:jc w:val="center"/>
              <w:rPr>
                <w:highlight w:val="none"/>
              </w:rPr>
            </w:pPr>
            <w:r>
              <w:rPr>
                <w:rFonts w:ascii="宋体" w:hAnsi="宋体" w:eastAsia="宋体" w:cs="宋体"/>
                <w:sz w:val="24"/>
                <w:highlight w:val="none"/>
              </w:rPr>
              <w:t>安全检查专题服务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FF672A9">
            <w:pPr>
              <w:pStyle w:val="5"/>
              <w:spacing w:line="360" w:lineRule="auto"/>
              <w:jc w:val="left"/>
              <w:rPr>
                <w:highlight w:val="none"/>
              </w:rPr>
            </w:pPr>
            <w:r>
              <w:rPr>
                <w:rFonts w:ascii="宋体" w:hAnsi="宋体" w:eastAsia="宋体" w:cs="宋体"/>
                <w:sz w:val="24"/>
                <w:highlight w:val="none"/>
              </w:rPr>
              <w:t>（1）安全检查专题服务</w:t>
            </w:r>
          </w:p>
        </w:tc>
        <w:tc>
          <w:tcPr>
            <w:tcW w:w="130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0E226CA">
            <w:pPr>
              <w:pStyle w:val="5"/>
              <w:spacing w:line="360" w:lineRule="auto"/>
              <w:jc w:val="center"/>
              <w:rPr>
                <w:highlight w:val="none"/>
              </w:rPr>
            </w:pPr>
            <w:r>
              <w:rPr>
                <w:rFonts w:ascii="宋体" w:hAnsi="宋体" w:eastAsia="宋体" w:cs="宋体"/>
                <w:sz w:val="24"/>
                <w:highlight w:val="none"/>
              </w:rPr>
              <w:t>全年</w:t>
            </w:r>
          </w:p>
        </w:tc>
        <w:tc>
          <w:tcPr>
            <w:tcW w:w="18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77677D5">
            <w:pPr>
              <w:pStyle w:val="5"/>
              <w:spacing w:line="360" w:lineRule="auto"/>
              <w:jc w:val="center"/>
              <w:rPr>
                <w:highlight w:val="none"/>
              </w:rPr>
            </w:pPr>
            <w:r>
              <w:rPr>
                <w:rFonts w:ascii="宋体" w:hAnsi="宋体" w:eastAsia="宋体" w:cs="宋体"/>
                <w:sz w:val="24"/>
                <w:highlight w:val="none"/>
              </w:rPr>
              <w:t>安全检查相关材料</w:t>
            </w:r>
          </w:p>
        </w:tc>
      </w:tr>
      <w:tr w14:paraId="3B5A9D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263" w:hRule="atLeast"/>
        </w:trPr>
        <w:tc>
          <w:tcPr>
            <w:tcW w:w="672" w:type="dxa"/>
            <w:vMerge w:val="continue"/>
            <w:tcBorders>
              <w:top w:val="nil"/>
              <w:left w:val="single" w:color="000000" w:sz="4" w:space="0"/>
              <w:bottom w:val="single" w:color="000000" w:sz="4" w:space="0"/>
              <w:right w:val="single" w:color="000000" w:sz="4" w:space="0"/>
            </w:tcBorders>
          </w:tcPr>
          <w:p w14:paraId="7E31DF1E">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6D8FCAEB">
            <w:pPr>
              <w:spacing w:line="360" w:lineRule="auto"/>
              <w:rPr>
                <w:highlight w:val="none"/>
              </w:rPr>
            </w:pPr>
          </w:p>
        </w:tc>
        <w:tc>
          <w:tcPr>
            <w:tcW w:w="12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4972541">
            <w:pPr>
              <w:pStyle w:val="5"/>
              <w:spacing w:line="360" w:lineRule="auto"/>
              <w:jc w:val="center"/>
              <w:rPr>
                <w:highlight w:val="none"/>
              </w:rPr>
            </w:pPr>
            <w:r>
              <w:rPr>
                <w:rFonts w:ascii="宋体" w:hAnsi="宋体" w:eastAsia="宋体" w:cs="宋体"/>
                <w:sz w:val="24"/>
                <w:highlight w:val="none"/>
              </w:rPr>
              <w:t>重要时期保障服务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B482716">
            <w:pPr>
              <w:pStyle w:val="5"/>
              <w:spacing w:line="360" w:lineRule="auto"/>
              <w:jc w:val="left"/>
              <w:rPr>
                <w:highlight w:val="none"/>
              </w:rPr>
            </w:pPr>
            <w:r>
              <w:rPr>
                <w:rFonts w:ascii="宋体" w:hAnsi="宋体" w:eastAsia="宋体" w:cs="宋体"/>
                <w:sz w:val="24"/>
                <w:highlight w:val="none"/>
              </w:rPr>
              <w:t>（1）重要时期远程保障服务</w:t>
            </w:r>
          </w:p>
        </w:tc>
        <w:tc>
          <w:tcPr>
            <w:tcW w:w="130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C9D05ED">
            <w:pPr>
              <w:pStyle w:val="5"/>
              <w:spacing w:line="360" w:lineRule="auto"/>
              <w:jc w:val="center"/>
              <w:rPr>
                <w:highlight w:val="none"/>
              </w:rPr>
            </w:pPr>
            <w:r>
              <w:rPr>
                <w:rFonts w:ascii="宋体" w:hAnsi="宋体" w:eastAsia="宋体" w:cs="宋体"/>
                <w:sz w:val="24"/>
                <w:highlight w:val="none"/>
              </w:rPr>
              <w:t>国庆、两会等重要时期</w:t>
            </w:r>
          </w:p>
        </w:tc>
        <w:tc>
          <w:tcPr>
            <w:tcW w:w="18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0ADE4AE">
            <w:pPr>
              <w:pStyle w:val="5"/>
              <w:spacing w:line="360" w:lineRule="auto"/>
              <w:jc w:val="center"/>
              <w:rPr>
                <w:highlight w:val="none"/>
              </w:rPr>
            </w:pPr>
            <w:r>
              <w:rPr>
                <w:rFonts w:ascii="宋体" w:hAnsi="宋体" w:eastAsia="宋体" w:cs="宋体"/>
                <w:sz w:val="24"/>
                <w:highlight w:val="none"/>
              </w:rPr>
              <w:t>《重要时期远程值守日报》</w:t>
            </w:r>
          </w:p>
        </w:tc>
      </w:tr>
      <w:tr w14:paraId="5F4BA5B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63" w:hRule="atLeast"/>
        </w:trPr>
        <w:tc>
          <w:tcPr>
            <w:tcW w:w="672" w:type="dxa"/>
            <w:vMerge w:val="continue"/>
            <w:tcBorders>
              <w:top w:val="nil"/>
              <w:left w:val="single" w:color="000000" w:sz="4" w:space="0"/>
              <w:bottom w:val="single" w:color="000000" w:sz="4" w:space="0"/>
              <w:right w:val="single" w:color="000000" w:sz="4" w:space="0"/>
            </w:tcBorders>
          </w:tcPr>
          <w:p w14:paraId="1F39724E">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1D95B513">
            <w:pPr>
              <w:spacing w:line="360" w:lineRule="auto"/>
              <w:rPr>
                <w:highlight w:val="none"/>
              </w:rPr>
            </w:pPr>
          </w:p>
        </w:tc>
        <w:tc>
          <w:tcPr>
            <w:tcW w:w="12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8FBE244">
            <w:pPr>
              <w:pStyle w:val="5"/>
              <w:spacing w:line="360" w:lineRule="auto"/>
              <w:jc w:val="center"/>
              <w:rPr>
                <w:highlight w:val="none"/>
              </w:rPr>
            </w:pPr>
            <w:r>
              <w:rPr>
                <w:rFonts w:ascii="宋体" w:hAnsi="宋体" w:eastAsia="宋体" w:cs="宋体"/>
                <w:sz w:val="24"/>
                <w:highlight w:val="none"/>
              </w:rPr>
              <w:t>安全通告服务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DED9576">
            <w:pPr>
              <w:pStyle w:val="5"/>
              <w:spacing w:line="360" w:lineRule="auto"/>
              <w:jc w:val="left"/>
              <w:rPr>
                <w:highlight w:val="none"/>
              </w:rPr>
            </w:pPr>
            <w:r>
              <w:rPr>
                <w:rFonts w:ascii="宋体" w:hAnsi="宋体" w:eastAsia="宋体" w:cs="宋体"/>
                <w:sz w:val="24"/>
                <w:highlight w:val="none"/>
              </w:rPr>
              <w:t>（1）安全通告服务</w:t>
            </w:r>
          </w:p>
        </w:tc>
        <w:tc>
          <w:tcPr>
            <w:tcW w:w="130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7F0CAAD">
            <w:pPr>
              <w:pStyle w:val="5"/>
              <w:spacing w:line="360" w:lineRule="auto"/>
              <w:jc w:val="center"/>
              <w:rPr>
                <w:highlight w:val="none"/>
              </w:rPr>
            </w:pPr>
            <w:r>
              <w:rPr>
                <w:rFonts w:ascii="宋体" w:hAnsi="宋体" w:eastAsia="宋体" w:cs="宋体"/>
                <w:sz w:val="24"/>
                <w:highlight w:val="none"/>
              </w:rPr>
              <w:t>全年</w:t>
            </w:r>
          </w:p>
        </w:tc>
        <w:tc>
          <w:tcPr>
            <w:tcW w:w="18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FED4937">
            <w:pPr>
              <w:pStyle w:val="5"/>
              <w:spacing w:line="360" w:lineRule="auto"/>
              <w:jc w:val="center"/>
              <w:rPr>
                <w:highlight w:val="none"/>
              </w:rPr>
            </w:pPr>
            <w:r>
              <w:rPr>
                <w:rFonts w:ascii="宋体" w:hAnsi="宋体" w:eastAsia="宋体" w:cs="宋体"/>
                <w:sz w:val="24"/>
                <w:highlight w:val="none"/>
              </w:rPr>
              <w:t>《安全通告》全年不少于6期</w:t>
            </w:r>
          </w:p>
        </w:tc>
      </w:tr>
      <w:tr w14:paraId="19FCF3A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6" w:hRule="atLeast"/>
        </w:trPr>
        <w:tc>
          <w:tcPr>
            <w:tcW w:w="67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FA4D1D0">
            <w:pPr>
              <w:pStyle w:val="5"/>
              <w:spacing w:line="360" w:lineRule="auto"/>
              <w:jc w:val="center"/>
              <w:rPr>
                <w:highlight w:val="none"/>
              </w:rPr>
            </w:pPr>
            <w:r>
              <w:rPr>
                <w:rFonts w:ascii="宋体" w:hAnsi="宋体" w:eastAsia="宋体" w:cs="宋体"/>
                <w:sz w:val="24"/>
                <w:highlight w:val="none"/>
              </w:rPr>
              <w:t>5</w:t>
            </w:r>
          </w:p>
        </w:tc>
        <w:tc>
          <w:tcPr>
            <w:tcW w:w="1230"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C7DEB50">
            <w:pPr>
              <w:pStyle w:val="5"/>
              <w:spacing w:line="360" w:lineRule="auto"/>
              <w:jc w:val="center"/>
              <w:rPr>
                <w:highlight w:val="none"/>
              </w:rPr>
            </w:pPr>
            <w:r>
              <w:rPr>
                <w:rFonts w:ascii="宋体" w:hAnsi="宋体" w:eastAsia="宋体" w:cs="宋体"/>
                <w:sz w:val="24"/>
                <w:highlight w:val="none"/>
              </w:rPr>
              <w:t>安全培训服务</w:t>
            </w:r>
          </w:p>
        </w:tc>
        <w:tc>
          <w:tcPr>
            <w:tcW w:w="122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25A90D8">
            <w:pPr>
              <w:pStyle w:val="5"/>
              <w:spacing w:line="360" w:lineRule="auto"/>
              <w:jc w:val="center"/>
              <w:rPr>
                <w:highlight w:val="none"/>
              </w:rPr>
            </w:pPr>
            <w:r>
              <w:rPr>
                <w:rFonts w:ascii="宋体" w:hAnsi="宋体" w:eastAsia="宋体" w:cs="宋体"/>
                <w:sz w:val="24"/>
                <w:highlight w:val="none"/>
              </w:rPr>
              <w:t>普及性安全培训</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1A3218B">
            <w:pPr>
              <w:pStyle w:val="5"/>
              <w:spacing w:line="360" w:lineRule="auto"/>
              <w:jc w:val="left"/>
              <w:rPr>
                <w:highlight w:val="none"/>
              </w:rPr>
            </w:pPr>
            <w:r>
              <w:rPr>
                <w:rFonts w:ascii="宋体" w:hAnsi="宋体" w:eastAsia="宋体" w:cs="宋体"/>
                <w:sz w:val="24"/>
                <w:highlight w:val="none"/>
              </w:rPr>
              <w:t>（1）安全意识培训</w:t>
            </w:r>
          </w:p>
        </w:tc>
        <w:tc>
          <w:tcPr>
            <w:tcW w:w="130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48ECAAD">
            <w:pPr>
              <w:pStyle w:val="5"/>
              <w:spacing w:line="360" w:lineRule="auto"/>
              <w:jc w:val="center"/>
              <w:rPr>
                <w:highlight w:val="none"/>
              </w:rPr>
            </w:pPr>
            <w:r>
              <w:rPr>
                <w:rFonts w:ascii="宋体" w:hAnsi="宋体" w:eastAsia="宋体" w:cs="宋体"/>
                <w:sz w:val="24"/>
                <w:highlight w:val="none"/>
              </w:rPr>
              <w:t>1次/年</w:t>
            </w:r>
          </w:p>
        </w:tc>
        <w:tc>
          <w:tcPr>
            <w:tcW w:w="182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91086CF">
            <w:pPr>
              <w:pStyle w:val="5"/>
              <w:spacing w:line="360" w:lineRule="auto"/>
              <w:jc w:val="center"/>
              <w:rPr>
                <w:highlight w:val="none"/>
              </w:rPr>
            </w:pPr>
            <w:r>
              <w:rPr>
                <w:rFonts w:ascii="宋体" w:hAnsi="宋体" w:eastAsia="宋体" w:cs="宋体"/>
                <w:sz w:val="24"/>
                <w:highlight w:val="none"/>
              </w:rPr>
              <w:t>安全培训材料</w:t>
            </w:r>
          </w:p>
        </w:tc>
      </w:tr>
      <w:tr w14:paraId="58716B2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672"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5D7881">
            <w:pPr>
              <w:pStyle w:val="5"/>
              <w:spacing w:line="360" w:lineRule="auto"/>
              <w:jc w:val="center"/>
              <w:rPr>
                <w:highlight w:val="none"/>
              </w:rPr>
            </w:pPr>
            <w:r>
              <w:rPr>
                <w:rFonts w:ascii="宋体" w:hAnsi="宋体" w:eastAsia="宋体" w:cs="宋体"/>
                <w:sz w:val="24"/>
                <w:highlight w:val="none"/>
              </w:rPr>
              <w:t>6</w:t>
            </w:r>
          </w:p>
        </w:tc>
        <w:tc>
          <w:tcPr>
            <w:tcW w:w="1230"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40717E">
            <w:pPr>
              <w:pStyle w:val="5"/>
              <w:spacing w:line="360" w:lineRule="auto"/>
              <w:jc w:val="center"/>
              <w:rPr>
                <w:highlight w:val="none"/>
              </w:rPr>
            </w:pPr>
            <w:r>
              <w:rPr>
                <w:rFonts w:ascii="宋体" w:hAnsi="宋体" w:eastAsia="宋体" w:cs="宋体"/>
                <w:sz w:val="24"/>
                <w:highlight w:val="none"/>
              </w:rPr>
              <w:t>安全措施有效性验证服务</w:t>
            </w:r>
          </w:p>
        </w:tc>
        <w:tc>
          <w:tcPr>
            <w:tcW w:w="1229"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48F960">
            <w:pPr>
              <w:pStyle w:val="5"/>
              <w:spacing w:line="360" w:lineRule="auto"/>
              <w:jc w:val="center"/>
              <w:rPr>
                <w:highlight w:val="none"/>
              </w:rPr>
            </w:pPr>
            <w:r>
              <w:rPr>
                <w:rFonts w:ascii="宋体" w:hAnsi="宋体" w:eastAsia="宋体" w:cs="宋体"/>
                <w:sz w:val="24"/>
                <w:highlight w:val="none"/>
              </w:rPr>
              <w:t>安全措施有效性验证服务</w:t>
            </w: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5675308">
            <w:pPr>
              <w:pStyle w:val="5"/>
              <w:spacing w:line="360" w:lineRule="auto"/>
              <w:jc w:val="left"/>
              <w:rPr>
                <w:highlight w:val="none"/>
              </w:rPr>
            </w:pPr>
            <w:r>
              <w:rPr>
                <w:rFonts w:ascii="宋体" w:hAnsi="宋体" w:eastAsia="宋体" w:cs="宋体"/>
                <w:sz w:val="24"/>
                <w:highlight w:val="none"/>
              </w:rPr>
              <w:t>（1）网络边界管控有效性及策略核查服务</w:t>
            </w:r>
          </w:p>
        </w:tc>
        <w:tc>
          <w:tcPr>
            <w:tcW w:w="130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EAC201">
            <w:pPr>
              <w:pStyle w:val="5"/>
              <w:spacing w:line="360" w:lineRule="auto"/>
              <w:jc w:val="center"/>
              <w:rPr>
                <w:highlight w:val="none"/>
              </w:rPr>
            </w:pPr>
            <w:r>
              <w:rPr>
                <w:rFonts w:ascii="宋体" w:hAnsi="宋体" w:eastAsia="宋体" w:cs="宋体"/>
                <w:sz w:val="24"/>
                <w:highlight w:val="none"/>
              </w:rPr>
              <w:t>1次/季度</w:t>
            </w:r>
          </w:p>
        </w:tc>
        <w:tc>
          <w:tcPr>
            <w:tcW w:w="1826"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2C56E1">
            <w:pPr>
              <w:pStyle w:val="5"/>
              <w:spacing w:line="360" w:lineRule="auto"/>
              <w:jc w:val="center"/>
              <w:rPr>
                <w:highlight w:val="none"/>
              </w:rPr>
            </w:pPr>
            <w:r>
              <w:rPr>
                <w:rFonts w:ascii="宋体" w:hAnsi="宋体" w:eastAsia="宋体" w:cs="宋体"/>
                <w:sz w:val="24"/>
                <w:highlight w:val="none"/>
              </w:rPr>
              <w:t>《安全措施有效性验证报告》</w:t>
            </w:r>
          </w:p>
        </w:tc>
      </w:tr>
      <w:tr w14:paraId="0CA578F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44" w:hRule="atLeast"/>
        </w:trPr>
        <w:tc>
          <w:tcPr>
            <w:tcW w:w="672" w:type="dxa"/>
            <w:vMerge w:val="continue"/>
            <w:tcBorders>
              <w:top w:val="nil"/>
              <w:left w:val="single" w:color="000000" w:sz="4" w:space="0"/>
              <w:bottom w:val="single" w:color="000000" w:sz="4" w:space="0"/>
              <w:right w:val="single" w:color="000000" w:sz="4" w:space="0"/>
            </w:tcBorders>
          </w:tcPr>
          <w:p w14:paraId="469548A2">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522CF1C7">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1C233C6F">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1389260">
            <w:pPr>
              <w:pStyle w:val="5"/>
              <w:spacing w:line="360" w:lineRule="auto"/>
              <w:jc w:val="left"/>
              <w:rPr>
                <w:highlight w:val="none"/>
              </w:rPr>
            </w:pPr>
            <w:r>
              <w:rPr>
                <w:rFonts w:ascii="宋体" w:hAnsi="宋体" w:eastAsia="宋体" w:cs="宋体"/>
                <w:sz w:val="24"/>
                <w:highlight w:val="none"/>
              </w:rPr>
              <w:t>（2）硬件设施有效性及策略核查服务</w:t>
            </w:r>
          </w:p>
        </w:tc>
        <w:tc>
          <w:tcPr>
            <w:tcW w:w="1305" w:type="dxa"/>
            <w:vMerge w:val="continue"/>
            <w:tcBorders>
              <w:top w:val="nil"/>
              <w:left w:val="single" w:color="000000" w:sz="4" w:space="0"/>
              <w:bottom w:val="single" w:color="000000" w:sz="4" w:space="0"/>
              <w:right w:val="single" w:color="000000" w:sz="4" w:space="0"/>
            </w:tcBorders>
          </w:tcPr>
          <w:p w14:paraId="093761AD">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39A791C8">
            <w:pPr>
              <w:spacing w:line="360" w:lineRule="auto"/>
              <w:rPr>
                <w:highlight w:val="none"/>
              </w:rPr>
            </w:pPr>
          </w:p>
        </w:tc>
      </w:tr>
      <w:tr w14:paraId="3E15C6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54" w:hRule="atLeast"/>
        </w:trPr>
        <w:tc>
          <w:tcPr>
            <w:tcW w:w="672" w:type="dxa"/>
            <w:vMerge w:val="continue"/>
            <w:tcBorders>
              <w:top w:val="nil"/>
              <w:left w:val="single" w:color="000000" w:sz="4" w:space="0"/>
              <w:bottom w:val="single" w:color="000000" w:sz="4" w:space="0"/>
              <w:right w:val="single" w:color="000000" w:sz="4" w:space="0"/>
            </w:tcBorders>
          </w:tcPr>
          <w:p w14:paraId="05B27FDC">
            <w:pPr>
              <w:spacing w:line="360" w:lineRule="auto"/>
              <w:rPr>
                <w:highlight w:val="none"/>
              </w:rPr>
            </w:pPr>
          </w:p>
        </w:tc>
        <w:tc>
          <w:tcPr>
            <w:tcW w:w="1230" w:type="dxa"/>
            <w:vMerge w:val="continue"/>
            <w:tcBorders>
              <w:top w:val="nil"/>
              <w:left w:val="single" w:color="000000" w:sz="4" w:space="0"/>
              <w:bottom w:val="single" w:color="000000" w:sz="4" w:space="0"/>
              <w:right w:val="single" w:color="000000" w:sz="4" w:space="0"/>
            </w:tcBorders>
          </w:tcPr>
          <w:p w14:paraId="23B1B083">
            <w:pPr>
              <w:spacing w:line="360" w:lineRule="auto"/>
              <w:rPr>
                <w:highlight w:val="none"/>
              </w:rPr>
            </w:pPr>
          </w:p>
        </w:tc>
        <w:tc>
          <w:tcPr>
            <w:tcW w:w="1229" w:type="dxa"/>
            <w:vMerge w:val="continue"/>
            <w:tcBorders>
              <w:top w:val="nil"/>
              <w:left w:val="single" w:color="000000" w:sz="4" w:space="0"/>
              <w:bottom w:val="single" w:color="000000" w:sz="4" w:space="0"/>
              <w:right w:val="single" w:color="000000" w:sz="4" w:space="0"/>
            </w:tcBorders>
          </w:tcPr>
          <w:p w14:paraId="1297B7E1">
            <w:pPr>
              <w:spacing w:line="360" w:lineRule="auto"/>
              <w:rPr>
                <w:highlight w:val="none"/>
              </w:rPr>
            </w:pPr>
          </w:p>
        </w:tc>
        <w:tc>
          <w:tcPr>
            <w:tcW w:w="3595"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74CA374">
            <w:pPr>
              <w:pStyle w:val="5"/>
              <w:spacing w:line="360" w:lineRule="auto"/>
              <w:jc w:val="left"/>
              <w:rPr>
                <w:highlight w:val="none"/>
              </w:rPr>
            </w:pPr>
            <w:r>
              <w:rPr>
                <w:rFonts w:ascii="宋体" w:hAnsi="宋体" w:eastAsia="宋体" w:cs="宋体"/>
                <w:sz w:val="24"/>
                <w:highlight w:val="none"/>
              </w:rPr>
              <w:t>（3）安全软件措施有效性及策略核查服务</w:t>
            </w:r>
          </w:p>
        </w:tc>
        <w:tc>
          <w:tcPr>
            <w:tcW w:w="1305" w:type="dxa"/>
            <w:vMerge w:val="continue"/>
            <w:tcBorders>
              <w:top w:val="nil"/>
              <w:left w:val="single" w:color="000000" w:sz="4" w:space="0"/>
              <w:bottom w:val="single" w:color="000000" w:sz="4" w:space="0"/>
              <w:right w:val="single" w:color="000000" w:sz="4" w:space="0"/>
            </w:tcBorders>
          </w:tcPr>
          <w:p w14:paraId="41710F2F">
            <w:pPr>
              <w:spacing w:line="360" w:lineRule="auto"/>
              <w:rPr>
                <w:highlight w:val="none"/>
              </w:rPr>
            </w:pPr>
          </w:p>
        </w:tc>
        <w:tc>
          <w:tcPr>
            <w:tcW w:w="1826" w:type="dxa"/>
            <w:vMerge w:val="continue"/>
            <w:tcBorders>
              <w:top w:val="nil"/>
              <w:left w:val="single" w:color="000000" w:sz="4" w:space="0"/>
              <w:bottom w:val="single" w:color="000000" w:sz="4" w:space="0"/>
              <w:right w:val="single" w:color="000000" w:sz="4" w:space="0"/>
            </w:tcBorders>
          </w:tcPr>
          <w:p w14:paraId="672BFA45">
            <w:pPr>
              <w:spacing w:line="360" w:lineRule="auto"/>
              <w:rPr>
                <w:highlight w:val="none"/>
              </w:rPr>
            </w:pPr>
          </w:p>
        </w:tc>
      </w:tr>
    </w:tbl>
    <w:p w14:paraId="40B98FF4">
      <w:pPr>
        <w:pStyle w:val="5"/>
        <w:spacing w:line="360" w:lineRule="auto"/>
        <w:ind w:firstLine="482"/>
        <w:jc w:val="both"/>
        <w:rPr>
          <w:highlight w:val="none"/>
        </w:rPr>
      </w:pPr>
      <w:r>
        <w:rPr>
          <w:rFonts w:ascii="宋体" w:hAnsi="宋体" w:eastAsia="宋体" w:cs="宋体"/>
          <w:b/>
          <w:sz w:val="24"/>
          <w:highlight w:val="none"/>
        </w:rPr>
        <w:t>2</w:t>
      </w:r>
      <w:r>
        <w:rPr>
          <w:rFonts w:ascii="宋体" w:hAnsi="宋体" w:eastAsia="宋体" w:cs="宋体"/>
          <w:sz w:val="24"/>
          <w:highlight w:val="none"/>
        </w:rPr>
        <w:t>安全服务要求</w:t>
      </w:r>
    </w:p>
    <w:p w14:paraId="16B56398">
      <w:pPr>
        <w:pStyle w:val="5"/>
        <w:spacing w:line="360" w:lineRule="auto"/>
        <w:ind w:firstLine="482"/>
        <w:jc w:val="both"/>
        <w:rPr>
          <w:highlight w:val="none"/>
        </w:rPr>
      </w:pPr>
      <w:r>
        <w:rPr>
          <w:rFonts w:ascii="宋体" w:hAnsi="宋体" w:eastAsia="宋体" w:cs="宋体"/>
          <w:b/>
          <w:sz w:val="24"/>
          <w:highlight w:val="none"/>
        </w:rPr>
        <w:t>2.1</w:t>
      </w:r>
      <w:r>
        <w:rPr>
          <w:rFonts w:ascii="宋体" w:hAnsi="宋体" w:eastAsia="宋体" w:cs="宋体"/>
          <w:sz w:val="24"/>
          <w:highlight w:val="none"/>
        </w:rPr>
        <w:t>资产梳理与巡检服务</w:t>
      </w:r>
    </w:p>
    <w:p w14:paraId="3F4E143B">
      <w:pPr>
        <w:pStyle w:val="5"/>
        <w:spacing w:line="360" w:lineRule="auto"/>
        <w:ind w:firstLine="482"/>
        <w:jc w:val="both"/>
        <w:rPr>
          <w:highlight w:val="none"/>
        </w:rPr>
      </w:pPr>
      <w:r>
        <w:rPr>
          <w:rFonts w:ascii="宋体" w:hAnsi="宋体" w:eastAsia="宋体" w:cs="宋体"/>
          <w:b/>
          <w:sz w:val="24"/>
          <w:highlight w:val="none"/>
        </w:rPr>
        <w:t>2.1.1</w:t>
      </w:r>
      <w:r>
        <w:rPr>
          <w:rFonts w:ascii="宋体" w:hAnsi="宋体" w:eastAsia="宋体" w:cs="宋体"/>
          <w:sz w:val="24"/>
          <w:highlight w:val="none"/>
        </w:rPr>
        <w:t>资产梳理服务</w:t>
      </w:r>
    </w:p>
    <w:p w14:paraId="5D049E8E">
      <w:pPr>
        <w:pStyle w:val="5"/>
        <w:spacing w:line="360" w:lineRule="auto"/>
        <w:ind w:firstLine="482"/>
        <w:jc w:val="both"/>
        <w:rPr>
          <w:highlight w:val="none"/>
        </w:rPr>
      </w:pPr>
      <w:r>
        <w:rPr>
          <w:rFonts w:ascii="宋体" w:hAnsi="宋体" w:eastAsia="宋体" w:cs="宋体"/>
          <w:b/>
          <w:sz w:val="24"/>
          <w:highlight w:val="none"/>
        </w:rPr>
        <w:t>2.1.1.1</w:t>
      </w:r>
      <w:r>
        <w:rPr>
          <w:rFonts w:ascii="宋体" w:hAnsi="宋体" w:eastAsia="宋体" w:cs="宋体"/>
          <w:sz w:val="24"/>
          <w:highlight w:val="none"/>
        </w:rPr>
        <w:t>资产识别分析服务</w:t>
      </w:r>
    </w:p>
    <w:p w14:paraId="29C61C5A">
      <w:pPr>
        <w:pStyle w:val="5"/>
        <w:spacing w:line="360" w:lineRule="auto"/>
        <w:ind w:firstLine="480"/>
        <w:rPr>
          <w:highlight w:val="none"/>
        </w:rPr>
      </w:pPr>
      <w:r>
        <w:rPr>
          <w:rFonts w:ascii="宋体" w:hAnsi="宋体" w:eastAsia="宋体" w:cs="宋体"/>
          <w:sz w:val="24"/>
          <w:highlight w:val="none"/>
        </w:rPr>
        <w:t>通过资产识别工具，自动化探测和采集资产属性，发现正在使用的IT资产，包括网络设备、web服务器、数据库服务器、应用系统等。</w:t>
      </w:r>
    </w:p>
    <w:p w14:paraId="09328901">
      <w:pPr>
        <w:pStyle w:val="5"/>
        <w:spacing w:line="360" w:lineRule="auto"/>
        <w:ind w:firstLine="482"/>
        <w:jc w:val="both"/>
        <w:rPr>
          <w:highlight w:val="none"/>
        </w:rPr>
      </w:pPr>
      <w:r>
        <w:rPr>
          <w:rFonts w:ascii="宋体" w:hAnsi="宋体" w:eastAsia="宋体" w:cs="宋体"/>
          <w:b/>
          <w:sz w:val="24"/>
          <w:highlight w:val="none"/>
        </w:rPr>
        <w:t>2.1.1.2</w:t>
      </w:r>
      <w:r>
        <w:rPr>
          <w:rFonts w:ascii="宋体" w:hAnsi="宋体" w:eastAsia="宋体" w:cs="宋体"/>
          <w:sz w:val="24"/>
          <w:highlight w:val="none"/>
        </w:rPr>
        <w:t>资产信息梳理服务</w:t>
      </w:r>
    </w:p>
    <w:p w14:paraId="33320EF2">
      <w:pPr>
        <w:pStyle w:val="5"/>
        <w:spacing w:line="360" w:lineRule="auto"/>
        <w:ind w:firstLine="480"/>
        <w:rPr>
          <w:highlight w:val="none"/>
        </w:rPr>
      </w:pPr>
      <w:r>
        <w:rPr>
          <w:rFonts w:ascii="宋体" w:hAnsi="宋体" w:eastAsia="宋体" w:cs="宋体"/>
          <w:sz w:val="24"/>
          <w:highlight w:val="none"/>
        </w:rPr>
        <w:t>结合已有IT资产清单和资产识别分析服务发现在用IT资产，通过人工服务完成资产清单的梳理，帮助用户发现无主资产、无用资产、新增资产等资产信息。</w:t>
      </w:r>
    </w:p>
    <w:p w14:paraId="1BF092E8">
      <w:pPr>
        <w:pStyle w:val="5"/>
        <w:spacing w:line="360" w:lineRule="auto"/>
        <w:ind w:firstLine="482"/>
        <w:jc w:val="both"/>
        <w:rPr>
          <w:highlight w:val="none"/>
        </w:rPr>
      </w:pPr>
      <w:r>
        <w:rPr>
          <w:rFonts w:ascii="宋体" w:hAnsi="宋体" w:eastAsia="宋体" w:cs="宋体"/>
          <w:b/>
          <w:sz w:val="24"/>
          <w:highlight w:val="none"/>
        </w:rPr>
        <w:t>2.1.1.3</w:t>
      </w:r>
      <w:r>
        <w:rPr>
          <w:rFonts w:ascii="宋体" w:hAnsi="宋体" w:eastAsia="宋体" w:cs="宋体"/>
          <w:sz w:val="24"/>
          <w:highlight w:val="none"/>
        </w:rPr>
        <w:t>服务价值与交付成果</w:t>
      </w:r>
    </w:p>
    <w:p w14:paraId="5E63B828">
      <w:pPr>
        <w:pStyle w:val="5"/>
        <w:spacing w:line="360" w:lineRule="auto"/>
        <w:ind w:firstLine="480"/>
        <w:rPr>
          <w:highlight w:val="none"/>
        </w:rPr>
      </w:pPr>
      <w:r>
        <w:rPr>
          <w:rFonts w:ascii="宋体" w:hAnsi="宋体" w:eastAsia="宋体" w:cs="宋体"/>
          <w:sz w:val="24"/>
          <w:highlight w:val="none"/>
        </w:rPr>
        <w:t>定期每季度通过资产梳理服务，明晰当前的IT资产，以及发现资产的变更。</w:t>
      </w:r>
    </w:p>
    <w:p w14:paraId="1EC6DC88">
      <w:pPr>
        <w:pStyle w:val="5"/>
        <w:spacing w:line="360" w:lineRule="auto"/>
        <w:ind w:firstLine="482"/>
        <w:rPr>
          <w:highlight w:val="none"/>
        </w:rPr>
      </w:pPr>
      <w:r>
        <w:rPr>
          <w:rFonts w:ascii="宋体" w:hAnsi="宋体" w:eastAsia="宋体" w:cs="宋体"/>
          <w:b/>
          <w:sz w:val="24"/>
          <w:highlight w:val="none"/>
        </w:rPr>
        <w:t>交付成果：《资产清单》</w:t>
      </w:r>
    </w:p>
    <w:p w14:paraId="799CA251">
      <w:pPr>
        <w:pStyle w:val="5"/>
        <w:spacing w:line="360" w:lineRule="auto"/>
        <w:ind w:firstLine="482"/>
        <w:jc w:val="both"/>
        <w:rPr>
          <w:highlight w:val="none"/>
        </w:rPr>
      </w:pPr>
      <w:r>
        <w:rPr>
          <w:rFonts w:ascii="宋体" w:hAnsi="宋体" w:eastAsia="宋体" w:cs="宋体"/>
          <w:b/>
          <w:sz w:val="24"/>
          <w:highlight w:val="none"/>
        </w:rPr>
        <w:t>2.1.2</w:t>
      </w:r>
      <w:r>
        <w:rPr>
          <w:rFonts w:ascii="宋体" w:hAnsi="宋体" w:eastAsia="宋体" w:cs="宋体"/>
          <w:sz w:val="24"/>
          <w:highlight w:val="none"/>
        </w:rPr>
        <w:t>巡检服务</w:t>
      </w:r>
    </w:p>
    <w:p w14:paraId="0E2F70B6">
      <w:pPr>
        <w:pStyle w:val="5"/>
        <w:spacing w:line="360" w:lineRule="auto"/>
        <w:ind w:firstLine="482"/>
        <w:jc w:val="both"/>
        <w:rPr>
          <w:highlight w:val="none"/>
        </w:rPr>
      </w:pPr>
      <w:r>
        <w:rPr>
          <w:rFonts w:ascii="宋体" w:hAnsi="宋体" w:eastAsia="宋体" w:cs="宋体"/>
          <w:b/>
          <w:sz w:val="24"/>
          <w:highlight w:val="none"/>
        </w:rPr>
        <w:t>2.1.2.1</w:t>
      </w:r>
      <w:r>
        <w:rPr>
          <w:rFonts w:ascii="宋体" w:hAnsi="宋体" w:eastAsia="宋体" w:cs="宋体"/>
          <w:sz w:val="24"/>
          <w:highlight w:val="none"/>
        </w:rPr>
        <w:t>云上服务器巡检服务</w:t>
      </w:r>
    </w:p>
    <w:p w14:paraId="667C8529">
      <w:pPr>
        <w:pStyle w:val="5"/>
        <w:spacing w:line="360" w:lineRule="auto"/>
        <w:ind w:firstLine="480"/>
        <w:rPr>
          <w:highlight w:val="none"/>
        </w:rPr>
      </w:pPr>
      <w:r>
        <w:rPr>
          <w:rFonts w:ascii="宋体" w:hAnsi="宋体" w:eastAsia="宋体" w:cs="宋体"/>
          <w:sz w:val="24"/>
          <w:highlight w:val="none"/>
        </w:rPr>
        <w:t>每月定期对云上虚拟机服务器的CPU、内存、硬盘、网卡进出IO等情况进行查看分析，及时发现服务器的异常，保障云上虚拟机服务器的正常运行，进而为云上业务的可持续运行提供支撑。</w:t>
      </w:r>
    </w:p>
    <w:p w14:paraId="799AE3FD">
      <w:pPr>
        <w:pStyle w:val="5"/>
        <w:spacing w:line="360" w:lineRule="auto"/>
        <w:ind w:firstLine="482"/>
        <w:jc w:val="both"/>
        <w:rPr>
          <w:highlight w:val="none"/>
        </w:rPr>
      </w:pPr>
      <w:r>
        <w:rPr>
          <w:rFonts w:ascii="宋体" w:hAnsi="宋体" w:eastAsia="宋体" w:cs="宋体"/>
          <w:b/>
          <w:sz w:val="24"/>
          <w:highlight w:val="none"/>
        </w:rPr>
        <w:t>2.1.2.2</w:t>
      </w:r>
      <w:r>
        <w:rPr>
          <w:rFonts w:ascii="宋体" w:hAnsi="宋体" w:eastAsia="宋体" w:cs="宋体"/>
          <w:sz w:val="24"/>
          <w:highlight w:val="none"/>
        </w:rPr>
        <w:t>服务价值与交付成果</w:t>
      </w:r>
    </w:p>
    <w:p w14:paraId="43943FD7">
      <w:pPr>
        <w:pStyle w:val="5"/>
        <w:spacing w:line="360" w:lineRule="auto"/>
        <w:ind w:firstLine="480"/>
        <w:rPr>
          <w:highlight w:val="none"/>
        </w:rPr>
      </w:pPr>
      <w:r>
        <w:rPr>
          <w:rFonts w:ascii="宋体" w:hAnsi="宋体" w:eastAsia="宋体" w:cs="宋体"/>
          <w:sz w:val="24"/>
          <w:highlight w:val="none"/>
        </w:rPr>
        <w:t>通过定期的虚拟机巡检，保证虚拟机的正常运行。</w:t>
      </w:r>
    </w:p>
    <w:p w14:paraId="20457E2F">
      <w:pPr>
        <w:pStyle w:val="5"/>
        <w:spacing w:line="360" w:lineRule="auto"/>
        <w:ind w:firstLine="482"/>
        <w:rPr>
          <w:highlight w:val="none"/>
        </w:rPr>
      </w:pPr>
      <w:r>
        <w:rPr>
          <w:rFonts w:ascii="宋体" w:hAnsi="宋体" w:eastAsia="宋体" w:cs="宋体"/>
          <w:b/>
          <w:sz w:val="24"/>
          <w:highlight w:val="none"/>
        </w:rPr>
        <w:t>交付成果：《云上服务器巡检报告》</w:t>
      </w:r>
    </w:p>
    <w:p w14:paraId="62820D30">
      <w:pPr>
        <w:pStyle w:val="5"/>
        <w:spacing w:line="360" w:lineRule="auto"/>
        <w:ind w:firstLine="482"/>
        <w:jc w:val="both"/>
        <w:rPr>
          <w:highlight w:val="none"/>
        </w:rPr>
      </w:pPr>
      <w:r>
        <w:rPr>
          <w:rFonts w:ascii="宋体" w:hAnsi="宋体" w:eastAsia="宋体" w:cs="宋体"/>
          <w:b/>
          <w:sz w:val="24"/>
          <w:highlight w:val="none"/>
        </w:rPr>
        <w:t>2.2</w:t>
      </w:r>
      <w:r>
        <w:rPr>
          <w:rFonts w:ascii="宋体" w:hAnsi="宋体" w:eastAsia="宋体" w:cs="宋体"/>
          <w:sz w:val="24"/>
          <w:highlight w:val="none"/>
        </w:rPr>
        <w:t>主机系统安全检测服务</w:t>
      </w:r>
    </w:p>
    <w:p w14:paraId="18B2A500">
      <w:pPr>
        <w:pStyle w:val="5"/>
        <w:spacing w:line="360" w:lineRule="auto"/>
        <w:ind w:firstLine="482"/>
        <w:jc w:val="both"/>
        <w:rPr>
          <w:highlight w:val="none"/>
        </w:rPr>
      </w:pPr>
      <w:r>
        <w:rPr>
          <w:rFonts w:ascii="宋体" w:hAnsi="宋体" w:eastAsia="宋体" w:cs="宋体"/>
          <w:b/>
          <w:sz w:val="24"/>
          <w:highlight w:val="none"/>
        </w:rPr>
        <w:t>2.2.1</w:t>
      </w:r>
      <w:r>
        <w:rPr>
          <w:rFonts w:ascii="宋体" w:hAnsi="宋体" w:eastAsia="宋体" w:cs="宋体"/>
          <w:sz w:val="24"/>
          <w:highlight w:val="none"/>
        </w:rPr>
        <w:t>主机系统漏洞扫描服务</w:t>
      </w:r>
    </w:p>
    <w:p w14:paraId="024ED206">
      <w:pPr>
        <w:pStyle w:val="5"/>
        <w:spacing w:line="360" w:lineRule="auto"/>
        <w:ind w:firstLine="480"/>
        <w:rPr>
          <w:highlight w:val="none"/>
        </w:rPr>
      </w:pPr>
      <w:r>
        <w:rPr>
          <w:rFonts w:ascii="宋体" w:hAnsi="宋体" w:eastAsia="宋体" w:cs="宋体"/>
          <w:sz w:val="24"/>
          <w:highlight w:val="none"/>
        </w:rPr>
        <w:t>定期每季度1次指派专业的安全服务工程师到客户现场，针对主机系统进行漏洞扫描、端口扫描、弱口令扫描等，覆盖系统的补丁、服务的开放性及安全研究机构发现的系统问题等，发现系统本身存在的安全问题。</w:t>
      </w:r>
    </w:p>
    <w:p w14:paraId="00351202">
      <w:pPr>
        <w:pStyle w:val="5"/>
        <w:spacing w:line="360" w:lineRule="auto"/>
        <w:ind w:firstLine="482"/>
        <w:jc w:val="both"/>
        <w:rPr>
          <w:highlight w:val="none"/>
        </w:rPr>
      </w:pPr>
      <w:r>
        <w:rPr>
          <w:rFonts w:ascii="宋体" w:hAnsi="宋体" w:eastAsia="宋体" w:cs="宋体"/>
          <w:b/>
          <w:sz w:val="24"/>
          <w:highlight w:val="none"/>
        </w:rPr>
        <w:t>2.2.2</w:t>
      </w:r>
      <w:r>
        <w:rPr>
          <w:rFonts w:ascii="宋体" w:hAnsi="宋体" w:eastAsia="宋体" w:cs="宋体"/>
          <w:sz w:val="24"/>
          <w:highlight w:val="none"/>
        </w:rPr>
        <w:t>主机系统安全配置核查服务</w:t>
      </w:r>
    </w:p>
    <w:p w14:paraId="717F4998">
      <w:pPr>
        <w:pStyle w:val="5"/>
        <w:spacing w:line="360" w:lineRule="auto"/>
        <w:ind w:firstLine="480"/>
        <w:rPr>
          <w:highlight w:val="none"/>
        </w:rPr>
      </w:pPr>
      <w:r>
        <w:rPr>
          <w:rFonts w:ascii="宋体" w:hAnsi="宋体" w:eastAsia="宋体" w:cs="宋体"/>
          <w:sz w:val="24"/>
          <w:highlight w:val="none"/>
        </w:rPr>
        <w:t>定期每季度1次指派专业的安全服务工程师到客户现场，参照等级保护2.0合规性标准，对主机系统进行配置核查，发现主机系统配置存在不合理和不安全的情况，提升客户对主机系统配置的安全意识。结合发现的问题进行及时调整，加强主机系统安全。</w:t>
      </w:r>
    </w:p>
    <w:p w14:paraId="20F9C218">
      <w:pPr>
        <w:pStyle w:val="5"/>
        <w:spacing w:line="360" w:lineRule="auto"/>
        <w:ind w:firstLine="482"/>
        <w:jc w:val="both"/>
        <w:rPr>
          <w:highlight w:val="none"/>
        </w:rPr>
      </w:pPr>
      <w:r>
        <w:rPr>
          <w:rFonts w:ascii="宋体" w:hAnsi="宋体" w:eastAsia="宋体" w:cs="宋体"/>
          <w:b/>
          <w:sz w:val="24"/>
          <w:highlight w:val="none"/>
        </w:rPr>
        <w:t>2.2.3</w:t>
      </w:r>
      <w:r>
        <w:rPr>
          <w:rFonts w:ascii="宋体" w:hAnsi="宋体" w:eastAsia="宋体" w:cs="宋体"/>
          <w:sz w:val="24"/>
          <w:highlight w:val="none"/>
        </w:rPr>
        <w:t>主机系统后门检查服务</w:t>
      </w:r>
    </w:p>
    <w:p w14:paraId="638AB215">
      <w:pPr>
        <w:pStyle w:val="5"/>
        <w:spacing w:line="360" w:lineRule="auto"/>
        <w:ind w:firstLine="480"/>
        <w:rPr>
          <w:highlight w:val="none"/>
        </w:rPr>
      </w:pPr>
      <w:r>
        <w:rPr>
          <w:rFonts w:ascii="宋体" w:hAnsi="宋体" w:eastAsia="宋体" w:cs="宋体"/>
          <w:sz w:val="24"/>
          <w:highlight w:val="none"/>
        </w:rPr>
        <w:t>定期每季度1次指派专业的安全服务工程师到客户现场，针对主机系统后门进行检查，检查内容包括：</w:t>
      </w:r>
    </w:p>
    <w:p w14:paraId="0741C7AB">
      <w:pPr>
        <w:pStyle w:val="5"/>
        <w:spacing w:line="360" w:lineRule="auto"/>
        <w:ind w:firstLine="482"/>
        <w:rPr>
          <w:highlight w:val="none"/>
        </w:rPr>
      </w:pPr>
      <w:r>
        <w:rPr>
          <w:rFonts w:ascii="宋体" w:hAnsi="宋体" w:eastAsia="宋体" w:cs="宋体"/>
          <w:b/>
          <w:sz w:val="24"/>
          <w:highlight w:val="none"/>
        </w:rPr>
        <w:t>1）主机系统后门检查</w:t>
      </w:r>
    </w:p>
    <w:p w14:paraId="69D87B3D">
      <w:pPr>
        <w:pStyle w:val="5"/>
        <w:spacing w:line="360" w:lineRule="auto"/>
        <w:ind w:firstLine="480"/>
        <w:rPr>
          <w:highlight w:val="none"/>
        </w:rPr>
      </w:pPr>
      <w:r>
        <w:rPr>
          <w:rFonts w:ascii="宋体" w:hAnsi="宋体" w:eastAsia="宋体" w:cs="宋体"/>
          <w:sz w:val="24"/>
          <w:highlight w:val="none"/>
        </w:rPr>
        <w:t>主机系统被入侵潜伏后，通常存在隐藏比较深的系统后门（Rootkit），重点发现绕过杀毒软件的系统后门。</w:t>
      </w:r>
    </w:p>
    <w:p w14:paraId="3B112C94">
      <w:pPr>
        <w:pStyle w:val="5"/>
        <w:spacing w:line="360" w:lineRule="auto"/>
        <w:ind w:firstLine="482"/>
        <w:rPr>
          <w:highlight w:val="none"/>
        </w:rPr>
      </w:pPr>
      <w:r>
        <w:rPr>
          <w:rFonts w:ascii="宋体" w:hAnsi="宋体" w:eastAsia="宋体" w:cs="宋体"/>
          <w:b/>
          <w:sz w:val="24"/>
          <w:highlight w:val="none"/>
        </w:rPr>
        <w:t>2)主机系统入侵痕迹检查</w:t>
      </w:r>
    </w:p>
    <w:p w14:paraId="1C85ACD8">
      <w:pPr>
        <w:pStyle w:val="5"/>
        <w:spacing w:line="360" w:lineRule="auto"/>
        <w:ind w:firstLine="480"/>
        <w:rPr>
          <w:highlight w:val="none"/>
        </w:rPr>
      </w:pPr>
      <w:r>
        <w:rPr>
          <w:rFonts w:ascii="宋体" w:hAnsi="宋体" w:eastAsia="宋体" w:cs="宋体"/>
          <w:sz w:val="24"/>
          <w:highlight w:val="none"/>
        </w:rPr>
        <w:t>针对主机账号、启动项、进程、网络连接等进行检查。</w:t>
      </w:r>
    </w:p>
    <w:p w14:paraId="705F278E">
      <w:pPr>
        <w:pStyle w:val="5"/>
        <w:spacing w:line="360" w:lineRule="auto"/>
        <w:ind w:firstLine="482"/>
        <w:rPr>
          <w:highlight w:val="none"/>
        </w:rPr>
      </w:pPr>
      <w:r>
        <w:rPr>
          <w:rFonts w:ascii="宋体" w:hAnsi="宋体" w:eastAsia="宋体" w:cs="宋体"/>
          <w:b/>
          <w:sz w:val="24"/>
          <w:highlight w:val="none"/>
        </w:rPr>
        <w:t>3)主机系统日志分析服务</w:t>
      </w:r>
    </w:p>
    <w:p w14:paraId="2B636B99">
      <w:pPr>
        <w:pStyle w:val="5"/>
        <w:spacing w:line="360" w:lineRule="auto"/>
        <w:ind w:firstLine="480"/>
        <w:rPr>
          <w:highlight w:val="none"/>
        </w:rPr>
      </w:pPr>
      <w:r>
        <w:rPr>
          <w:rFonts w:ascii="宋体" w:hAnsi="宋体" w:eastAsia="宋体" w:cs="宋体"/>
          <w:sz w:val="24"/>
          <w:highlight w:val="none"/>
        </w:rPr>
        <w:t>根据系统层日志、安全日志、应用层日志以及其他特征发现主机系统的入侵痕迹，避免黑客使用隐藏账户等躲避检查的安全隐患。</w:t>
      </w:r>
    </w:p>
    <w:p w14:paraId="55B100AF">
      <w:pPr>
        <w:pStyle w:val="5"/>
        <w:spacing w:line="360" w:lineRule="auto"/>
        <w:ind w:firstLine="482"/>
        <w:jc w:val="both"/>
        <w:rPr>
          <w:highlight w:val="none"/>
        </w:rPr>
      </w:pPr>
      <w:r>
        <w:rPr>
          <w:rFonts w:ascii="宋体" w:hAnsi="宋体" w:eastAsia="宋体" w:cs="宋体"/>
          <w:b/>
          <w:sz w:val="24"/>
          <w:highlight w:val="none"/>
        </w:rPr>
        <w:t>2.2.4</w:t>
      </w:r>
      <w:r>
        <w:rPr>
          <w:rFonts w:ascii="宋体" w:hAnsi="宋体" w:eastAsia="宋体" w:cs="宋体"/>
          <w:sz w:val="24"/>
          <w:highlight w:val="none"/>
        </w:rPr>
        <w:t>网络攻击威胁实时监测服务</w:t>
      </w:r>
    </w:p>
    <w:p w14:paraId="6FDBD31E">
      <w:pPr>
        <w:pStyle w:val="5"/>
        <w:spacing w:line="360" w:lineRule="auto"/>
        <w:ind w:firstLine="480"/>
        <w:rPr>
          <w:highlight w:val="none"/>
        </w:rPr>
      </w:pPr>
      <w:r>
        <w:rPr>
          <w:rFonts w:ascii="宋体" w:hAnsi="宋体" w:eastAsia="宋体" w:cs="宋体"/>
          <w:sz w:val="24"/>
          <w:highlight w:val="none"/>
        </w:rPr>
        <w:t>针对福建省林业局云上主机的网络流量进行安全实时监测，及时有效地发现云上业务存在的网络安全攻击威胁与安全风险，如SQL注入、反序列化、漏洞利用、反向外联、未授权访问等行为，一旦发现网络流量安全告警，并成功匹配到安全攻击行为特征，则及时进行预警通告，为进一步安全处置工作提供可靠保障。</w:t>
      </w:r>
    </w:p>
    <w:p w14:paraId="6B9D86D6">
      <w:pPr>
        <w:pStyle w:val="5"/>
        <w:spacing w:line="360" w:lineRule="auto"/>
        <w:ind w:firstLine="482"/>
        <w:jc w:val="both"/>
        <w:rPr>
          <w:highlight w:val="none"/>
        </w:rPr>
      </w:pPr>
      <w:r>
        <w:rPr>
          <w:rFonts w:ascii="宋体" w:hAnsi="宋体" w:eastAsia="宋体" w:cs="宋体"/>
          <w:b/>
          <w:sz w:val="24"/>
          <w:highlight w:val="none"/>
        </w:rPr>
        <w:t>2.2.5</w:t>
      </w:r>
      <w:r>
        <w:rPr>
          <w:rFonts w:ascii="宋体" w:hAnsi="宋体" w:eastAsia="宋体" w:cs="宋体"/>
          <w:sz w:val="24"/>
          <w:highlight w:val="none"/>
        </w:rPr>
        <w:t>主机入侵行为实时监测服务</w:t>
      </w:r>
    </w:p>
    <w:p w14:paraId="6E2ECAF3">
      <w:pPr>
        <w:pStyle w:val="5"/>
        <w:spacing w:line="360" w:lineRule="auto"/>
        <w:ind w:firstLine="480"/>
        <w:rPr>
          <w:highlight w:val="none"/>
        </w:rPr>
      </w:pPr>
      <w:r>
        <w:rPr>
          <w:rFonts w:ascii="宋体" w:hAnsi="宋体" w:eastAsia="宋体" w:cs="宋体"/>
          <w:sz w:val="24"/>
          <w:highlight w:val="none"/>
        </w:rPr>
        <w:t>实时监测福建省林业局云上业务系统云主机安全状态，对主机入侵、可疑后门、恶意程序、违规操作、主机漏洞等进行实时监测、检测，实时地感知网络安全攻击威胁行为，能够准确定位主机系统存在的安全薄弱点与安全漏洞风险，并进行预警，提升主机入侵事件发现和应急响应能力。</w:t>
      </w:r>
    </w:p>
    <w:p w14:paraId="1946DAC8">
      <w:pPr>
        <w:pStyle w:val="5"/>
        <w:spacing w:line="360" w:lineRule="auto"/>
        <w:ind w:firstLine="482"/>
        <w:jc w:val="both"/>
        <w:rPr>
          <w:highlight w:val="none"/>
        </w:rPr>
      </w:pPr>
      <w:r>
        <w:rPr>
          <w:rFonts w:ascii="宋体" w:hAnsi="宋体" w:eastAsia="宋体" w:cs="宋体"/>
          <w:b/>
          <w:sz w:val="24"/>
          <w:highlight w:val="none"/>
        </w:rPr>
        <w:t>2.2.6</w:t>
      </w:r>
      <w:r>
        <w:rPr>
          <w:rFonts w:ascii="宋体" w:hAnsi="宋体" w:eastAsia="宋体" w:cs="宋体"/>
          <w:sz w:val="24"/>
          <w:highlight w:val="none"/>
        </w:rPr>
        <w:t>横向渗透攻击行为实时监测服务</w:t>
      </w:r>
    </w:p>
    <w:p w14:paraId="14231384">
      <w:pPr>
        <w:pStyle w:val="5"/>
        <w:spacing w:line="360" w:lineRule="auto"/>
        <w:ind w:firstLine="480"/>
        <w:rPr>
          <w:highlight w:val="none"/>
        </w:rPr>
      </w:pPr>
      <w:r>
        <w:rPr>
          <w:rFonts w:ascii="宋体" w:hAnsi="宋体" w:eastAsia="宋体" w:cs="宋体"/>
          <w:sz w:val="24"/>
          <w:highlight w:val="none"/>
        </w:rPr>
        <w:t>对福建省林业局云主机内网横向渗透攻击行为进行监测，如横向移动、内网探测、恶意扫描等行为，一旦发现横向渗透行为，能够及时发出预警，结合应急处置措施，有效阻断黑客攻击途径，防止黑客通过内网对其它业务主机发起安全攻击。</w:t>
      </w:r>
    </w:p>
    <w:p w14:paraId="2FA3E1ED">
      <w:pPr>
        <w:pStyle w:val="5"/>
        <w:spacing w:line="360" w:lineRule="auto"/>
        <w:ind w:firstLine="482"/>
        <w:jc w:val="both"/>
        <w:rPr>
          <w:highlight w:val="none"/>
        </w:rPr>
      </w:pPr>
      <w:r>
        <w:rPr>
          <w:rFonts w:ascii="宋体" w:hAnsi="宋体" w:eastAsia="宋体" w:cs="宋体"/>
          <w:b/>
          <w:sz w:val="24"/>
          <w:highlight w:val="none"/>
        </w:rPr>
        <w:t>2.2.7</w:t>
      </w:r>
      <w:r>
        <w:rPr>
          <w:rFonts w:ascii="宋体" w:hAnsi="宋体" w:eastAsia="宋体" w:cs="宋体"/>
          <w:sz w:val="24"/>
          <w:highlight w:val="none"/>
        </w:rPr>
        <w:t>主机系统安全加固辅导服务</w:t>
      </w:r>
    </w:p>
    <w:p w14:paraId="67E89673">
      <w:pPr>
        <w:pStyle w:val="5"/>
        <w:spacing w:line="360" w:lineRule="auto"/>
        <w:ind w:firstLine="480"/>
        <w:rPr>
          <w:highlight w:val="none"/>
        </w:rPr>
      </w:pPr>
      <w:r>
        <w:rPr>
          <w:rFonts w:ascii="宋体" w:hAnsi="宋体" w:eastAsia="宋体" w:cs="宋体"/>
          <w:sz w:val="24"/>
          <w:highlight w:val="none"/>
        </w:rPr>
        <w:t>定期每季度1次指派专业的安全服务工程师到客户现场，通过分析主机系统漏洞扫描、安全配置核查、后门检查的结果，明确主机系统当前存在的安全问题，对在检测中发现的主机系统安全问题提供安全加固建议及辅导，协助系统管理员完成主机系统后门清理、漏洞加固和配置加固，提高系统的整体安全性，最大限度消除服务器高风险漏洞，使其符合等级保护的基本要求。</w:t>
      </w:r>
    </w:p>
    <w:p w14:paraId="68A7B9C2">
      <w:pPr>
        <w:pStyle w:val="5"/>
        <w:spacing w:line="360" w:lineRule="auto"/>
        <w:ind w:firstLine="482"/>
        <w:jc w:val="both"/>
        <w:rPr>
          <w:highlight w:val="none"/>
        </w:rPr>
      </w:pPr>
      <w:r>
        <w:rPr>
          <w:rFonts w:ascii="宋体" w:hAnsi="宋体" w:eastAsia="宋体" w:cs="宋体"/>
          <w:b/>
          <w:sz w:val="24"/>
          <w:highlight w:val="none"/>
        </w:rPr>
        <w:t>2.2.8</w:t>
      </w:r>
      <w:r>
        <w:rPr>
          <w:rFonts w:ascii="宋体" w:hAnsi="宋体" w:eastAsia="宋体" w:cs="宋体"/>
          <w:sz w:val="24"/>
          <w:highlight w:val="none"/>
        </w:rPr>
        <w:t>中间件安全评估与配置加固建议服务</w:t>
      </w:r>
    </w:p>
    <w:p w14:paraId="731E20BD">
      <w:pPr>
        <w:pStyle w:val="5"/>
        <w:spacing w:line="360" w:lineRule="auto"/>
        <w:ind w:firstLine="480"/>
        <w:rPr>
          <w:highlight w:val="none"/>
        </w:rPr>
      </w:pPr>
      <w:r>
        <w:rPr>
          <w:rFonts w:ascii="宋体" w:hAnsi="宋体" w:eastAsia="宋体" w:cs="宋体"/>
          <w:sz w:val="24"/>
          <w:highlight w:val="none"/>
        </w:rPr>
        <w:t>定期每季度1次指派专业的安全服务工程师到客户现场，针对中间件进行安全合规评估，并提供配置加固建议。</w:t>
      </w:r>
    </w:p>
    <w:p w14:paraId="617E04DB">
      <w:pPr>
        <w:pStyle w:val="5"/>
        <w:spacing w:line="360" w:lineRule="auto"/>
        <w:ind w:firstLine="480"/>
        <w:rPr>
          <w:highlight w:val="none"/>
        </w:rPr>
      </w:pPr>
      <w:r>
        <w:rPr>
          <w:rFonts w:ascii="宋体" w:hAnsi="宋体" w:eastAsia="宋体" w:cs="宋体"/>
          <w:sz w:val="24"/>
          <w:highlight w:val="none"/>
        </w:rPr>
        <w:t>结合工具检测和人工安全审查方式来挖掘Apache/IIS/Tomcat/Weblogic/WebSphere等Web应用服务器（中间件）的脆弱性和安全性问题，主要评估账号、日志、配置等不正确的问题带来的安全威胁，帮助用户及早发现中间件存在的风险，避免造成敏感信息泄漏的后果。</w:t>
      </w:r>
    </w:p>
    <w:p w14:paraId="21345467">
      <w:pPr>
        <w:pStyle w:val="5"/>
        <w:spacing w:line="360" w:lineRule="auto"/>
        <w:ind w:firstLine="480"/>
        <w:rPr>
          <w:highlight w:val="none"/>
        </w:rPr>
      </w:pPr>
      <w:r>
        <w:rPr>
          <w:rFonts w:ascii="宋体" w:hAnsi="宋体" w:eastAsia="宋体" w:cs="宋体"/>
          <w:sz w:val="24"/>
          <w:highlight w:val="none"/>
        </w:rPr>
        <w:t>针对Apache/IIS/Tomcat/Weblogic/WebSphere等Web应用服务器（中间件）提供加固建议，包括配置加固与优化建议，最大程度降低中间件本身的漏洞风险、纠正中间件使用中构成安全威胁的错误策略、加强中间件账号、日志、配置等带有安全风险的配置，从整体上提升中间件的安全性。</w:t>
      </w:r>
    </w:p>
    <w:p w14:paraId="14A69E09">
      <w:pPr>
        <w:pStyle w:val="5"/>
        <w:spacing w:line="360" w:lineRule="auto"/>
        <w:ind w:firstLine="482"/>
        <w:jc w:val="both"/>
        <w:rPr>
          <w:highlight w:val="none"/>
        </w:rPr>
      </w:pPr>
      <w:r>
        <w:rPr>
          <w:rFonts w:ascii="宋体" w:hAnsi="宋体" w:eastAsia="宋体" w:cs="宋体"/>
          <w:b/>
          <w:sz w:val="24"/>
          <w:highlight w:val="none"/>
        </w:rPr>
        <w:t>2.2.9</w:t>
      </w:r>
      <w:r>
        <w:rPr>
          <w:rFonts w:ascii="宋体" w:hAnsi="宋体" w:eastAsia="宋体" w:cs="宋体"/>
          <w:sz w:val="24"/>
          <w:highlight w:val="none"/>
        </w:rPr>
        <w:t>数据库安全评估与配置加固建议服务</w:t>
      </w:r>
    </w:p>
    <w:p w14:paraId="60563571">
      <w:pPr>
        <w:pStyle w:val="5"/>
        <w:spacing w:line="360" w:lineRule="auto"/>
        <w:ind w:firstLine="480"/>
        <w:rPr>
          <w:highlight w:val="none"/>
        </w:rPr>
      </w:pPr>
      <w:r>
        <w:rPr>
          <w:rFonts w:ascii="宋体" w:hAnsi="宋体" w:eastAsia="宋体" w:cs="宋体"/>
          <w:sz w:val="24"/>
          <w:highlight w:val="none"/>
        </w:rPr>
        <w:t>定期每季度1次指派专业的安全服务工程师到客户现场，针对数据库进行安全合规评估，并提供配置加固建议。</w:t>
      </w:r>
    </w:p>
    <w:p w14:paraId="3DEB4096">
      <w:pPr>
        <w:pStyle w:val="5"/>
        <w:spacing w:line="360" w:lineRule="auto"/>
        <w:ind w:firstLine="480"/>
        <w:rPr>
          <w:highlight w:val="none"/>
        </w:rPr>
      </w:pPr>
      <w:r>
        <w:rPr>
          <w:rFonts w:ascii="宋体" w:hAnsi="宋体" w:eastAsia="宋体" w:cs="宋体"/>
          <w:sz w:val="24"/>
          <w:highlight w:val="none"/>
        </w:rPr>
        <w:t>结合工具检测和人工安全审查方式来挖掘数据库系统的脆弱性和安全性问题，主要评估数据库系统安全漏洞、安全配置不正确带来的安全威胁以及由于数据库系统账号、权限等配置不严谨而产生的安全风险。帮助用户及早发现数据库系统存在的风险，避免造成敏感信息泄漏的后果。</w:t>
      </w:r>
    </w:p>
    <w:p w14:paraId="534B1E73">
      <w:pPr>
        <w:pStyle w:val="5"/>
        <w:spacing w:line="360" w:lineRule="auto"/>
        <w:ind w:firstLine="480"/>
        <w:rPr>
          <w:highlight w:val="none"/>
        </w:rPr>
      </w:pPr>
      <w:r>
        <w:rPr>
          <w:rFonts w:ascii="宋体" w:hAnsi="宋体" w:eastAsia="宋体" w:cs="宋体"/>
          <w:sz w:val="24"/>
          <w:highlight w:val="none"/>
        </w:rPr>
        <w:t>提供数据库安全加固建议，包括最大程度降低数据库系统（SQL Server，Oracle等）本身的漏洞风险、纠正数据库系统使用中构成安全威胁的错误策略、加强数据库系统账号、密钥、权限等带有安全风险的配置，从整体上提升数据库系统的安全性。</w:t>
      </w:r>
    </w:p>
    <w:p w14:paraId="772A0A38">
      <w:pPr>
        <w:pStyle w:val="5"/>
        <w:spacing w:line="360" w:lineRule="auto"/>
        <w:ind w:firstLine="482"/>
        <w:jc w:val="both"/>
        <w:rPr>
          <w:highlight w:val="none"/>
        </w:rPr>
      </w:pPr>
      <w:r>
        <w:rPr>
          <w:rFonts w:ascii="宋体" w:hAnsi="宋体" w:eastAsia="宋体" w:cs="宋体"/>
          <w:b/>
          <w:sz w:val="24"/>
          <w:highlight w:val="none"/>
        </w:rPr>
        <w:t>2.2.10</w:t>
      </w:r>
      <w:r>
        <w:rPr>
          <w:rFonts w:ascii="宋体" w:hAnsi="宋体" w:eastAsia="宋体" w:cs="宋体"/>
          <w:sz w:val="24"/>
          <w:highlight w:val="none"/>
        </w:rPr>
        <w:t>服务价值与交付成果</w:t>
      </w:r>
    </w:p>
    <w:p w14:paraId="32D1C295">
      <w:pPr>
        <w:pStyle w:val="5"/>
        <w:spacing w:line="360" w:lineRule="auto"/>
        <w:ind w:firstLine="480"/>
        <w:rPr>
          <w:highlight w:val="none"/>
        </w:rPr>
      </w:pPr>
      <w:r>
        <w:rPr>
          <w:rFonts w:ascii="宋体" w:hAnsi="宋体" w:eastAsia="宋体" w:cs="宋体"/>
          <w:sz w:val="24"/>
          <w:highlight w:val="none"/>
        </w:rPr>
        <w:t>通过主机安全检测与加固辅导服务，全面深入地发现主机服务器可能存在的安全风险，及时协助修复主机系统层安全中发现的安全漏洞与隐患，最大限度地防止黑客入侵。保证信息系统稳定、安全地运行。</w:t>
      </w:r>
    </w:p>
    <w:p w14:paraId="7D18981C">
      <w:pPr>
        <w:pStyle w:val="5"/>
        <w:spacing w:line="360" w:lineRule="auto"/>
        <w:ind w:firstLine="482"/>
        <w:rPr>
          <w:highlight w:val="none"/>
        </w:rPr>
      </w:pPr>
      <w:r>
        <w:rPr>
          <w:rFonts w:ascii="宋体" w:hAnsi="宋体" w:eastAsia="宋体" w:cs="宋体"/>
          <w:b/>
          <w:sz w:val="24"/>
          <w:highlight w:val="none"/>
        </w:rPr>
        <w:t>交付成果：《主机系统安全检测报告》</w:t>
      </w:r>
    </w:p>
    <w:p w14:paraId="681D030B">
      <w:pPr>
        <w:pStyle w:val="5"/>
        <w:spacing w:line="360" w:lineRule="auto"/>
        <w:ind w:firstLine="482"/>
        <w:jc w:val="both"/>
        <w:rPr>
          <w:highlight w:val="none"/>
        </w:rPr>
      </w:pPr>
      <w:r>
        <w:rPr>
          <w:rFonts w:ascii="宋体" w:hAnsi="宋体" w:eastAsia="宋体" w:cs="宋体"/>
          <w:b/>
          <w:sz w:val="24"/>
          <w:highlight w:val="none"/>
        </w:rPr>
        <w:t>2.3</w:t>
      </w:r>
      <w:r>
        <w:rPr>
          <w:rFonts w:ascii="宋体" w:hAnsi="宋体" w:eastAsia="宋体" w:cs="宋体"/>
          <w:sz w:val="24"/>
          <w:highlight w:val="none"/>
        </w:rPr>
        <w:t>应用安全检测服务</w:t>
      </w:r>
    </w:p>
    <w:p w14:paraId="0B077F41">
      <w:pPr>
        <w:pStyle w:val="5"/>
        <w:spacing w:line="360" w:lineRule="auto"/>
        <w:ind w:firstLine="482"/>
        <w:jc w:val="both"/>
        <w:rPr>
          <w:highlight w:val="none"/>
        </w:rPr>
      </w:pPr>
      <w:r>
        <w:rPr>
          <w:rFonts w:ascii="宋体" w:hAnsi="宋体" w:eastAsia="宋体" w:cs="宋体"/>
          <w:b/>
          <w:sz w:val="24"/>
          <w:highlight w:val="none"/>
        </w:rPr>
        <w:t>2.3.1</w:t>
      </w:r>
      <w:r>
        <w:rPr>
          <w:rFonts w:ascii="宋体" w:hAnsi="宋体" w:eastAsia="宋体" w:cs="宋体"/>
          <w:sz w:val="24"/>
          <w:highlight w:val="none"/>
        </w:rPr>
        <w:t>互联网网站安全监测服务</w:t>
      </w:r>
    </w:p>
    <w:p w14:paraId="65E229F9">
      <w:pPr>
        <w:pStyle w:val="5"/>
        <w:spacing w:line="360" w:lineRule="auto"/>
        <w:ind w:firstLine="480"/>
        <w:rPr>
          <w:highlight w:val="none"/>
        </w:rPr>
      </w:pPr>
      <w:r>
        <w:rPr>
          <w:rFonts w:ascii="宋体" w:hAnsi="宋体" w:eastAsia="宋体" w:cs="宋体"/>
          <w:sz w:val="24"/>
          <w:highlight w:val="none"/>
        </w:rPr>
        <w:t>针对服务范围内的互联网网站进行全年的安全监测，并每季度进行1次安全性检测。</w:t>
      </w:r>
    </w:p>
    <w:p w14:paraId="373FC962">
      <w:pPr>
        <w:pStyle w:val="5"/>
        <w:spacing w:line="360" w:lineRule="auto"/>
        <w:ind w:firstLine="482"/>
        <w:jc w:val="both"/>
        <w:rPr>
          <w:highlight w:val="none"/>
        </w:rPr>
      </w:pPr>
      <w:r>
        <w:rPr>
          <w:rFonts w:ascii="宋体" w:hAnsi="宋体" w:eastAsia="宋体" w:cs="宋体"/>
          <w:b/>
          <w:sz w:val="24"/>
          <w:highlight w:val="none"/>
        </w:rPr>
        <w:t>2.3.1.1</w:t>
      </w:r>
      <w:r>
        <w:rPr>
          <w:rFonts w:ascii="宋体" w:hAnsi="宋体" w:eastAsia="宋体" w:cs="宋体"/>
          <w:sz w:val="24"/>
          <w:highlight w:val="none"/>
        </w:rPr>
        <w:t>可用性监测服务</w:t>
      </w:r>
    </w:p>
    <w:p w14:paraId="383FC7D6">
      <w:pPr>
        <w:pStyle w:val="5"/>
        <w:spacing w:line="360" w:lineRule="auto"/>
        <w:ind w:firstLine="480"/>
        <w:rPr>
          <w:highlight w:val="none"/>
        </w:rPr>
      </w:pPr>
      <w:r>
        <w:rPr>
          <w:rFonts w:ascii="宋体" w:hAnsi="宋体" w:eastAsia="宋体" w:cs="宋体"/>
          <w:sz w:val="24"/>
          <w:highlight w:val="none"/>
        </w:rPr>
        <w:t>针对互联网网站应用提供全年可用性监测服务，可用性监测主要涉及以下指标：网站可用性、网站访问的速度情况、网站响应时间，从而判断互联网网站是否能达到最优、最安全的服务质量。通过的可用性检测服务，从互联网线路远程实时监测目标网站站点在多种网络协议下的响应速度、首页加载时间等反映网站性能状况的内容，一旦发现网站无法访问，第一时间通知用户。</w:t>
      </w:r>
    </w:p>
    <w:p w14:paraId="4882C9FF">
      <w:pPr>
        <w:pStyle w:val="5"/>
        <w:spacing w:line="360" w:lineRule="auto"/>
        <w:ind w:firstLine="482"/>
        <w:jc w:val="both"/>
        <w:rPr>
          <w:highlight w:val="none"/>
        </w:rPr>
      </w:pPr>
      <w:r>
        <w:rPr>
          <w:rFonts w:ascii="宋体" w:hAnsi="宋体" w:eastAsia="宋体" w:cs="宋体"/>
          <w:b/>
          <w:sz w:val="24"/>
          <w:highlight w:val="none"/>
        </w:rPr>
        <w:t>2.3.1.2</w:t>
      </w:r>
      <w:r>
        <w:rPr>
          <w:rFonts w:ascii="宋体" w:hAnsi="宋体" w:eastAsia="宋体" w:cs="宋体"/>
          <w:sz w:val="24"/>
          <w:highlight w:val="none"/>
        </w:rPr>
        <w:t>合规性监测服务</w:t>
      </w:r>
    </w:p>
    <w:p w14:paraId="0D4976CB">
      <w:pPr>
        <w:pStyle w:val="5"/>
        <w:spacing w:line="360" w:lineRule="auto"/>
        <w:ind w:firstLine="482"/>
        <w:jc w:val="both"/>
        <w:rPr>
          <w:highlight w:val="none"/>
        </w:rPr>
      </w:pPr>
      <w:r>
        <w:rPr>
          <w:rFonts w:ascii="宋体" w:hAnsi="宋体" w:eastAsia="宋体" w:cs="宋体"/>
          <w:b/>
          <w:sz w:val="24"/>
          <w:highlight w:val="none"/>
        </w:rPr>
        <w:t>2.3.1.2.1</w:t>
      </w:r>
      <w:r>
        <w:rPr>
          <w:rFonts w:ascii="宋体" w:hAnsi="宋体" w:eastAsia="宋体" w:cs="宋体"/>
          <w:sz w:val="24"/>
          <w:highlight w:val="none"/>
        </w:rPr>
        <w:t>远程网页变更监测服务</w:t>
      </w:r>
    </w:p>
    <w:p w14:paraId="5824C0B0">
      <w:pPr>
        <w:pStyle w:val="5"/>
        <w:spacing w:line="360" w:lineRule="auto"/>
        <w:ind w:firstLine="480"/>
        <w:rPr>
          <w:highlight w:val="none"/>
        </w:rPr>
      </w:pPr>
      <w:r>
        <w:rPr>
          <w:rFonts w:ascii="宋体" w:hAnsi="宋体" w:eastAsia="宋体" w:cs="宋体"/>
          <w:sz w:val="24"/>
          <w:highlight w:val="none"/>
        </w:rPr>
        <w:t>针对互联网网站应用提供全年远程网页变更监测服务，远程网页变更监测服务在远程对比的基本原理上，增加了两大核心技术，来解决业界恶意变更监控普遍误报率较高的问题。一是内容网页前后模糊匹配技术通过预设值敏感度，作为前后匹配误差的判断标准；二是内容匹配算法，不仅对比网页的变化，而是识别内容，并进行非法库的匹配。例如，扫描发现网页修改中出现了“共产党”，其他部分又出现不和谐词语，系统会计算出一个差值，来进行匹配判断是否为恶意变更行为。这样一方面提升扫描效率，一方面极大降低误报率。一旦发现网站网页异常变更，第一时间通知用户。</w:t>
      </w:r>
    </w:p>
    <w:p w14:paraId="21446024">
      <w:pPr>
        <w:pStyle w:val="5"/>
        <w:spacing w:line="360" w:lineRule="auto"/>
        <w:ind w:firstLine="482"/>
        <w:jc w:val="both"/>
        <w:rPr>
          <w:highlight w:val="none"/>
        </w:rPr>
      </w:pPr>
      <w:r>
        <w:rPr>
          <w:rFonts w:ascii="宋体" w:hAnsi="宋体" w:eastAsia="宋体" w:cs="宋体"/>
          <w:b/>
          <w:sz w:val="24"/>
          <w:highlight w:val="none"/>
        </w:rPr>
        <w:t>2.3.1.2.2</w:t>
      </w:r>
      <w:r>
        <w:rPr>
          <w:rFonts w:ascii="宋体" w:hAnsi="宋体" w:eastAsia="宋体" w:cs="宋体"/>
          <w:sz w:val="24"/>
          <w:highlight w:val="none"/>
        </w:rPr>
        <w:t>网页敏感信息监测服务</w:t>
      </w:r>
    </w:p>
    <w:p w14:paraId="76F4B4A6">
      <w:pPr>
        <w:pStyle w:val="5"/>
        <w:spacing w:line="360" w:lineRule="auto"/>
        <w:ind w:firstLine="480"/>
        <w:rPr>
          <w:highlight w:val="none"/>
        </w:rPr>
      </w:pPr>
      <w:r>
        <w:rPr>
          <w:rFonts w:ascii="宋体" w:hAnsi="宋体" w:eastAsia="宋体" w:cs="宋体"/>
          <w:sz w:val="24"/>
          <w:highlight w:val="none"/>
        </w:rPr>
        <w:t>针对互联网网站应用提供全年网页敏感信息监测服务，对网站存在的敏感信息进行检测，并且可以检测多种类型的敏感信息，同时，还能够支持自定义导入敏感信息，在自身的敏感词库的基础上，不断丰富敏感词汇。监测工具同时利用百度、谷歌等搜索引擎的强大搜索能力，通过搜索引擎接口提交搜索参数，使页面敏感词检测覆盖面更深更广，从而实现远程实时监测目标站点页面状况，一旦发现页面出现敏感关键词，第一时间通知用户并提供安全参考建议，方便用户及时删除敏感内容，避免事件影响扩散，给自身带来声誉和法律风险。</w:t>
      </w:r>
    </w:p>
    <w:p w14:paraId="1693E435">
      <w:pPr>
        <w:pStyle w:val="5"/>
        <w:spacing w:line="360" w:lineRule="auto"/>
        <w:ind w:firstLine="482"/>
        <w:jc w:val="both"/>
        <w:rPr>
          <w:highlight w:val="none"/>
        </w:rPr>
      </w:pPr>
      <w:r>
        <w:rPr>
          <w:rFonts w:ascii="宋体" w:hAnsi="宋体" w:eastAsia="宋体" w:cs="宋体"/>
          <w:b/>
          <w:sz w:val="24"/>
          <w:highlight w:val="none"/>
        </w:rPr>
        <w:t>2.3.1.2.3</w:t>
      </w:r>
      <w:r>
        <w:rPr>
          <w:rFonts w:ascii="宋体" w:hAnsi="宋体" w:eastAsia="宋体" w:cs="宋体"/>
          <w:sz w:val="24"/>
          <w:highlight w:val="none"/>
        </w:rPr>
        <w:t>网页恶意链接监控服务</w:t>
      </w:r>
    </w:p>
    <w:p w14:paraId="140C4BFB">
      <w:pPr>
        <w:pStyle w:val="5"/>
        <w:spacing w:line="360" w:lineRule="auto"/>
        <w:ind w:firstLine="480"/>
        <w:rPr>
          <w:highlight w:val="none"/>
        </w:rPr>
      </w:pPr>
      <w:r>
        <w:rPr>
          <w:rFonts w:ascii="宋体" w:hAnsi="宋体" w:eastAsia="宋体" w:cs="宋体"/>
          <w:sz w:val="24"/>
          <w:highlight w:val="none"/>
        </w:rPr>
        <w:t>针对互联网网站应用提供全年恶意链接检测服务，检测网站暗链、桥页等恶意链接以及网页新增链接等。通过监测工具内置的暗链特征库，将远程网页信息抓取到本地，进行暗链特征匹配，通过排除信任域名库、IP地址域名、常见隐藏手段等的干扰，并结合暗链关键词库的匹配技术，将目前挂暗链主要目的的搜索引擎关键词，准确匹配出来，从而在有效检测暗链的同时，将误报降到最低限度。一旦发现页面出现网页恶意链接，第一时间通知用户。</w:t>
      </w:r>
    </w:p>
    <w:p w14:paraId="54C76CBD">
      <w:pPr>
        <w:pStyle w:val="5"/>
        <w:spacing w:line="360" w:lineRule="auto"/>
        <w:ind w:firstLine="482"/>
        <w:jc w:val="both"/>
        <w:rPr>
          <w:highlight w:val="none"/>
        </w:rPr>
      </w:pPr>
      <w:r>
        <w:rPr>
          <w:rFonts w:ascii="宋体" w:hAnsi="宋体" w:eastAsia="宋体" w:cs="宋体"/>
          <w:b/>
          <w:sz w:val="24"/>
          <w:highlight w:val="none"/>
        </w:rPr>
        <w:t>2.3.1.3</w:t>
      </w:r>
      <w:r>
        <w:rPr>
          <w:rFonts w:ascii="宋体" w:hAnsi="宋体" w:eastAsia="宋体" w:cs="宋体"/>
          <w:sz w:val="24"/>
          <w:highlight w:val="none"/>
        </w:rPr>
        <w:t>安全性检测服务</w:t>
      </w:r>
    </w:p>
    <w:p w14:paraId="149A6534">
      <w:pPr>
        <w:pStyle w:val="5"/>
        <w:spacing w:line="360" w:lineRule="auto"/>
        <w:ind w:firstLine="482"/>
        <w:jc w:val="both"/>
        <w:rPr>
          <w:highlight w:val="none"/>
        </w:rPr>
      </w:pPr>
      <w:r>
        <w:rPr>
          <w:rFonts w:ascii="宋体" w:hAnsi="宋体" w:eastAsia="宋体" w:cs="宋体"/>
          <w:b/>
          <w:sz w:val="24"/>
          <w:highlight w:val="none"/>
        </w:rPr>
        <w:t>2.3.1.3.1</w:t>
      </w:r>
      <w:r>
        <w:rPr>
          <w:rFonts w:ascii="宋体" w:hAnsi="宋体" w:eastAsia="宋体" w:cs="宋体"/>
          <w:sz w:val="24"/>
          <w:highlight w:val="none"/>
        </w:rPr>
        <w:t>网站漏洞扫描检测服务</w:t>
      </w:r>
    </w:p>
    <w:p w14:paraId="2BC33FA5">
      <w:pPr>
        <w:pStyle w:val="5"/>
        <w:spacing w:line="360" w:lineRule="auto"/>
        <w:ind w:firstLine="480"/>
        <w:rPr>
          <w:highlight w:val="none"/>
        </w:rPr>
      </w:pPr>
      <w:r>
        <w:rPr>
          <w:rFonts w:ascii="宋体" w:hAnsi="宋体" w:eastAsia="宋体" w:cs="宋体"/>
          <w:sz w:val="24"/>
          <w:highlight w:val="none"/>
        </w:rPr>
        <w:t>针对互联网网站应用提供全年网站漏洞扫描检测服务，提供OWASP定义的Web威胁相关的漏洞扫描检测，通过远程的网站漏洞扫描检测，同时有效识别Web2.0以及Flash，保障网站漏洞扫描的全面性。</w:t>
      </w:r>
    </w:p>
    <w:p w14:paraId="786C01EB">
      <w:pPr>
        <w:pStyle w:val="5"/>
        <w:spacing w:line="360" w:lineRule="auto"/>
        <w:ind w:firstLine="480"/>
        <w:rPr>
          <w:highlight w:val="none"/>
        </w:rPr>
      </w:pPr>
      <w:r>
        <w:rPr>
          <w:rFonts w:ascii="宋体" w:hAnsi="宋体" w:eastAsia="宋体" w:cs="宋体"/>
          <w:sz w:val="24"/>
          <w:highlight w:val="none"/>
        </w:rPr>
        <w:t>网站漏洞扫描服务提供广度和深度两种扫描方式，广度优先策略是按照网页内容目录层次深浅来爬行页面，处于较浅目录层次的页面首先被爬行。当同一层次中的页面爬行完毕后，爬虫再深入下一层继续爬行，能有效控制页面的爬行深度，避免遇到一个无穷深层分支时无法结束爬行的问题。</w:t>
      </w:r>
    </w:p>
    <w:p w14:paraId="08A123BD">
      <w:pPr>
        <w:pStyle w:val="5"/>
        <w:spacing w:line="360" w:lineRule="auto"/>
        <w:ind w:firstLine="482"/>
        <w:jc w:val="both"/>
        <w:rPr>
          <w:highlight w:val="none"/>
        </w:rPr>
      </w:pPr>
      <w:r>
        <w:rPr>
          <w:rFonts w:ascii="宋体" w:hAnsi="宋体" w:eastAsia="宋体" w:cs="宋体"/>
          <w:b/>
          <w:sz w:val="24"/>
          <w:highlight w:val="none"/>
        </w:rPr>
        <w:t>2.3.1.3.2</w:t>
      </w:r>
      <w:r>
        <w:rPr>
          <w:rFonts w:ascii="宋体" w:hAnsi="宋体" w:eastAsia="宋体" w:cs="宋体"/>
          <w:sz w:val="24"/>
          <w:highlight w:val="none"/>
        </w:rPr>
        <w:t>网站钓鱼检测服务</w:t>
      </w:r>
    </w:p>
    <w:p w14:paraId="793C8DC6">
      <w:pPr>
        <w:pStyle w:val="5"/>
        <w:spacing w:line="360" w:lineRule="auto"/>
        <w:ind w:firstLine="480"/>
        <w:rPr>
          <w:highlight w:val="none"/>
        </w:rPr>
      </w:pPr>
      <w:r>
        <w:rPr>
          <w:rFonts w:ascii="宋体" w:hAnsi="宋体" w:eastAsia="宋体" w:cs="宋体"/>
          <w:sz w:val="24"/>
          <w:highlight w:val="none"/>
        </w:rPr>
        <w:t>针对互联网网站应用提供全年网站钓鱼检测服务，服务工具通过借助搜索引擎的搜索能力以及网页的模糊匹配技术，通过借助网页关键词，判断搜索关键词而来的网站中，是否出现与本域名不匹配，且相似度高的网站，来判断该网站是否为钓鱼网站，一旦发现将第一时间通知用户。</w:t>
      </w:r>
    </w:p>
    <w:p w14:paraId="15A06DA8">
      <w:pPr>
        <w:pStyle w:val="5"/>
        <w:spacing w:line="360" w:lineRule="auto"/>
        <w:ind w:firstLine="482"/>
        <w:jc w:val="both"/>
        <w:rPr>
          <w:highlight w:val="none"/>
        </w:rPr>
      </w:pPr>
      <w:r>
        <w:rPr>
          <w:rFonts w:ascii="宋体" w:hAnsi="宋体" w:eastAsia="宋体" w:cs="宋体"/>
          <w:b/>
          <w:sz w:val="24"/>
          <w:highlight w:val="none"/>
        </w:rPr>
        <w:t>2.3.1.3.3</w:t>
      </w:r>
      <w:r>
        <w:rPr>
          <w:rFonts w:ascii="宋体" w:hAnsi="宋体" w:eastAsia="宋体" w:cs="宋体"/>
          <w:sz w:val="24"/>
          <w:highlight w:val="none"/>
        </w:rPr>
        <w:t>网页木马检测服务</w:t>
      </w:r>
    </w:p>
    <w:p w14:paraId="2B84B84E">
      <w:pPr>
        <w:pStyle w:val="5"/>
        <w:spacing w:line="360" w:lineRule="auto"/>
        <w:ind w:firstLine="480"/>
        <w:rPr>
          <w:highlight w:val="none"/>
        </w:rPr>
      </w:pPr>
      <w:r>
        <w:rPr>
          <w:rFonts w:ascii="宋体" w:hAnsi="宋体" w:eastAsia="宋体" w:cs="宋体"/>
          <w:sz w:val="24"/>
          <w:highlight w:val="none"/>
        </w:rPr>
        <w:t>针对互联网网站应用提供全年网页木马检测服务，检测工具采用业内领先的一体化挂马检测技术，高效、准确地识别网站页面中的恶意代码，从而使网站管理员能够第一时间感知网站的安全状态，及时清除网页木马，避免给用户带来安全威胁，继而影响网站信誉。检测工具采用基于沙箱检测和静态特征库匹配相结合的木马检测技术作为网马检测引擎，提高引擎检测准确性，降低误报率。</w:t>
      </w:r>
    </w:p>
    <w:p w14:paraId="507CD1AD">
      <w:pPr>
        <w:pStyle w:val="5"/>
        <w:spacing w:line="360" w:lineRule="auto"/>
        <w:ind w:firstLine="482"/>
        <w:jc w:val="both"/>
        <w:rPr>
          <w:highlight w:val="none"/>
        </w:rPr>
      </w:pPr>
      <w:r>
        <w:rPr>
          <w:rFonts w:ascii="宋体" w:hAnsi="宋体" w:eastAsia="宋体" w:cs="宋体"/>
          <w:b/>
          <w:sz w:val="24"/>
          <w:highlight w:val="none"/>
        </w:rPr>
        <w:t>2.3.1.3.4</w:t>
      </w:r>
      <w:r>
        <w:rPr>
          <w:rFonts w:ascii="宋体" w:hAnsi="宋体" w:eastAsia="宋体" w:cs="宋体"/>
          <w:sz w:val="24"/>
          <w:highlight w:val="none"/>
        </w:rPr>
        <w:t>弱口令检查服务</w:t>
      </w:r>
    </w:p>
    <w:p w14:paraId="01B25B86">
      <w:pPr>
        <w:pStyle w:val="5"/>
        <w:spacing w:line="360" w:lineRule="auto"/>
        <w:ind w:firstLine="480"/>
        <w:rPr>
          <w:highlight w:val="none"/>
        </w:rPr>
      </w:pPr>
      <w:r>
        <w:rPr>
          <w:rFonts w:ascii="宋体" w:hAnsi="宋体" w:eastAsia="宋体" w:cs="宋体"/>
          <w:sz w:val="24"/>
          <w:highlight w:val="none"/>
        </w:rPr>
        <w:t>针对互联网网站应用提供全年弱口令检查服务，检测工具基于调度任务对网站进行远程自动扫描，获得所述网站主机诸如：SSH、FTP、ORACLE等服务的弱口令信息，包括：用户名、密码。检测工具通过内置的用户名字典和密码字典以及组合字典，可以进行标准模式破解以及组合模式破解两种扫描方式进行弱口令扫描，扫描一方面同弱口令字典中的弱口令进行匹配，另一方面使用获取到的口令进行模拟登陆验证，从而实现弱口令检查功能，从而有效提高弱口令检测效率。</w:t>
      </w:r>
    </w:p>
    <w:p w14:paraId="22A25256">
      <w:pPr>
        <w:pStyle w:val="5"/>
        <w:spacing w:line="360" w:lineRule="auto"/>
        <w:ind w:firstLine="482"/>
        <w:jc w:val="both"/>
        <w:rPr>
          <w:highlight w:val="none"/>
        </w:rPr>
      </w:pPr>
      <w:r>
        <w:rPr>
          <w:rFonts w:ascii="宋体" w:hAnsi="宋体" w:eastAsia="宋体" w:cs="宋体"/>
          <w:b/>
          <w:sz w:val="24"/>
          <w:highlight w:val="none"/>
        </w:rPr>
        <w:t>2.3.1.4</w:t>
      </w:r>
      <w:r>
        <w:rPr>
          <w:rFonts w:ascii="宋体" w:hAnsi="宋体" w:eastAsia="宋体" w:cs="宋体"/>
          <w:sz w:val="24"/>
          <w:highlight w:val="none"/>
        </w:rPr>
        <w:t>服务价值与交付成果</w:t>
      </w:r>
    </w:p>
    <w:p w14:paraId="545E1EB7">
      <w:pPr>
        <w:pStyle w:val="5"/>
        <w:spacing w:line="360" w:lineRule="auto"/>
        <w:ind w:firstLine="480"/>
        <w:rPr>
          <w:highlight w:val="none"/>
        </w:rPr>
      </w:pPr>
      <w:r>
        <w:rPr>
          <w:rFonts w:ascii="宋体" w:hAnsi="宋体" w:eastAsia="宋体" w:cs="宋体"/>
          <w:sz w:val="24"/>
          <w:highlight w:val="none"/>
        </w:rPr>
        <w:t>定期每季度采用安全监测服务平台等检测服务工具对单位的互联网网站提供远程安全监测，用户无须安装任何软件或调整网络架构，由于无需购买和部署设备，因此用户可以在几个小时内将监测服务投入运行，并可以在第一时间获得监测到的网站安全问题，并获得专业的技术指导协助。</w:t>
      </w:r>
    </w:p>
    <w:p w14:paraId="01E68113">
      <w:pPr>
        <w:pStyle w:val="5"/>
        <w:spacing w:line="360" w:lineRule="auto"/>
        <w:ind w:firstLine="482"/>
        <w:rPr>
          <w:highlight w:val="none"/>
        </w:rPr>
      </w:pPr>
      <w:r>
        <w:rPr>
          <w:rFonts w:ascii="宋体" w:hAnsi="宋体" w:eastAsia="宋体" w:cs="宋体"/>
          <w:b/>
          <w:sz w:val="24"/>
          <w:highlight w:val="none"/>
        </w:rPr>
        <w:t>交付成果：《互联网网站安全监测报告》</w:t>
      </w:r>
    </w:p>
    <w:p w14:paraId="5E744187">
      <w:pPr>
        <w:pStyle w:val="5"/>
        <w:spacing w:line="360" w:lineRule="auto"/>
        <w:ind w:firstLine="482"/>
        <w:jc w:val="both"/>
        <w:rPr>
          <w:highlight w:val="none"/>
        </w:rPr>
      </w:pPr>
      <w:r>
        <w:rPr>
          <w:rFonts w:ascii="宋体" w:hAnsi="宋体" w:eastAsia="宋体" w:cs="宋体"/>
          <w:b/>
          <w:sz w:val="24"/>
          <w:highlight w:val="none"/>
        </w:rPr>
        <w:t>2.3.2</w:t>
      </w:r>
      <w:r>
        <w:rPr>
          <w:rFonts w:ascii="宋体" w:hAnsi="宋体" w:eastAsia="宋体" w:cs="宋体"/>
          <w:sz w:val="24"/>
          <w:highlight w:val="none"/>
        </w:rPr>
        <w:t>应用安全检测服务</w:t>
      </w:r>
    </w:p>
    <w:p w14:paraId="50F49A81">
      <w:pPr>
        <w:pStyle w:val="5"/>
        <w:spacing w:line="360" w:lineRule="auto"/>
        <w:ind w:firstLine="482"/>
        <w:jc w:val="both"/>
        <w:rPr>
          <w:highlight w:val="none"/>
        </w:rPr>
      </w:pPr>
      <w:r>
        <w:rPr>
          <w:rFonts w:ascii="宋体" w:hAnsi="宋体" w:eastAsia="宋体" w:cs="宋体"/>
          <w:b/>
          <w:sz w:val="24"/>
          <w:highlight w:val="none"/>
        </w:rPr>
        <w:t>2.3.2.1</w:t>
      </w:r>
      <w:r>
        <w:rPr>
          <w:rFonts w:ascii="宋体" w:hAnsi="宋体" w:eastAsia="宋体" w:cs="宋体"/>
          <w:sz w:val="24"/>
          <w:highlight w:val="none"/>
        </w:rPr>
        <w:t>应用安全漏洞扫描服务</w:t>
      </w:r>
    </w:p>
    <w:p w14:paraId="70DAF58E">
      <w:pPr>
        <w:pStyle w:val="5"/>
        <w:spacing w:line="360" w:lineRule="auto"/>
        <w:ind w:firstLine="480"/>
        <w:rPr>
          <w:highlight w:val="none"/>
        </w:rPr>
      </w:pPr>
      <w:r>
        <w:rPr>
          <w:rFonts w:ascii="宋体" w:hAnsi="宋体" w:eastAsia="宋体" w:cs="宋体"/>
          <w:sz w:val="24"/>
          <w:highlight w:val="none"/>
        </w:rPr>
        <w:t>定期每季度1次指派专业的安全服务工程师到客户现场，为目标应用提供全方位的安全漏洞及安全隐患检查，从攻击者视角审查目标应用系统的脆弱性状况，包括应用漏洞、应用配置。</w:t>
      </w:r>
    </w:p>
    <w:p w14:paraId="5C6E507D">
      <w:pPr>
        <w:pStyle w:val="5"/>
        <w:spacing w:line="360" w:lineRule="auto"/>
        <w:ind w:firstLine="482"/>
        <w:jc w:val="both"/>
        <w:rPr>
          <w:highlight w:val="none"/>
        </w:rPr>
      </w:pPr>
      <w:r>
        <w:rPr>
          <w:rFonts w:ascii="宋体" w:hAnsi="宋体" w:eastAsia="宋体" w:cs="宋体"/>
          <w:b/>
          <w:sz w:val="24"/>
          <w:highlight w:val="none"/>
        </w:rPr>
        <w:t>2.3.2.2</w:t>
      </w:r>
      <w:r>
        <w:rPr>
          <w:rFonts w:ascii="宋体" w:hAnsi="宋体" w:eastAsia="宋体" w:cs="宋体"/>
          <w:sz w:val="24"/>
          <w:highlight w:val="none"/>
        </w:rPr>
        <w:t>应用安全漏洞验证服务</w:t>
      </w:r>
    </w:p>
    <w:p w14:paraId="5DD2DD45">
      <w:pPr>
        <w:pStyle w:val="5"/>
        <w:spacing w:line="360" w:lineRule="auto"/>
        <w:ind w:firstLine="480"/>
        <w:rPr>
          <w:highlight w:val="none"/>
        </w:rPr>
      </w:pPr>
      <w:r>
        <w:rPr>
          <w:rFonts w:ascii="宋体" w:hAnsi="宋体" w:eastAsia="宋体" w:cs="宋体"/>
          <w:sz w:val="24"/>
          <w:highlight w:val="none"/>
        </w:rPr>
        <w:t>定期每季度1次指派专业的安全服务工程师到客户现场，对已经发现的安全问题进行人工验证，以判断应用当前的漏洞是否真实有利用，剔除误报干扰。并提供专业的安全加固措施指导建议，帮助客户解决当前应用存在的安全问题。</w:t>
      </w:r>
    </w:p>
    <w:p w14:paraId="77BA544D">
      <w:pPr>
        <w:pStyle w:val="5"/>
        <w:spacing w:line="360" w:lineRule="auto"/>
        <w:ind w:firstLine="482"/>
        <w:jc w:val="both"/>
        <w:rPr>
          <w:highlight w:val="none"/>
        </w:rPr>
      </w:pPr>
      <w:r>
        <w:rPr>
          <w:rFonts w:ascii="宋体" w:hAnsi="宋体" w:eastAsia="宋体" w:cs="宋体"/>
          <w:b/>
          <w:sz w:val="24"/>
          <w:highlight w:val="none"/>
        </w:rPr>
        <w:t>2.3.2.3</w:t>
      </w:r>
      <w:r>
        <w:rPr>
          <w:rFonts w:ascii="宋体" w:hAnsi="宋体" w:eastAsia="宋体" w:cs="宋体"/>
          <w:sz w:val="24"/>
          <w:highlight w:val="none"/>
        </w:rPr>
        <w:t>应用安全漏洞加固辅导服务</w:t>
      </w:r>
    </w:p>
    <w:p w14:paraId="7B496EEC">
      <w:pPr>
        <w:pStyle w:val="5"/>
        <w:spacing w:line="360" w:lineRule="auto"/>
        <w:ind w:firstLine="480"/>
        <w:rPr>
          <w:highlight w:val="none"/>
        </w:rPr>
      </w:pPr>
      <w:r>
        <w:rPr>
          <w:rFonts w:ascii="宋体" w:hAnsi="宋体" w:eastAsia="宋体" w:cs="宋体"/>
          <w:sz w:val="24"/>
          <w:highlight w:val="none"/>
        </w:rPr>
        <w:t>定期每季度1次指派专业的安全服务工程师到客户现场，提供专业的应用安全漏洞加固措施指导建议，协助应用开发商及时采取可行的应用安全加固措施进行安全加固。首次安全加固后，将进行漏洞复查和对比，以形成加固前后对比。协助客户解决当前应用存在的安全问题。</w:t>
      </w:r>
    </w:p>
    <w:p w14:paraId="10498EF7">
      <w:pPr>
        <w:pStyle w:val="5"/>
        <w:spacing w:line="360" w:lineRule="auto"/>
        <w:ind w:firstLine="482"/>
        <w:jc w:val="both"/>
        <w:rPr>
          <w:highlight w:val="none"/>
        </w:rPr>
      </w:pPr>
      <w:r>
        <w:rPr>
          <w:rFonts w:ascii="宋体" w:hAnsi="宋体" w:eastAsia="宋体" w:cs="宋体"/>
          <w:b/>
          <w:sz w:val="24"/>
          <w:highlight w:val="none"/>
        </w:rPr>
        <w:t>2.3.2.4</w:t>
      </w:r>
      <w:r>
        <w:rPr>
          <w:rFonts w:ascii="宋体" w:hAnsi="宋体" w:eastAsia="宋体" w:cs="宋体"/>
          <w:sz w:val="24"/>
          <w:highlight w:val="none"/>
        </w:rPr>
        <w:t>服务价值与交付成果</w:t>
      </w:r>
    </w:p>
    <w:p w14:paraId="3B8FD83E">
      <w:pPr>
        <w:pStyle w:val="5"/>
        <w:spacing w:line="360" w:lineRule="auto"/>
        <w:ind w:firstLine="480"/>
        <w:rPr>
          <w:highlight w:val="none"/>
        </w:rPr>
      </w:pPr>
      <w:r>
        <w:rPr>
          <w:rFonts w:ascii="宋体" w:hAnsi="宋体" w:eastAsia="宋体" w:cs="宋体"/>
          <w:sz w:val="24"/>
          <w:highlight w:val="none"/>
        </w:rPr>
        <w:t>通过应用安全检测服务，全面深入地挖掘可能存在的被黑客利用的网站应用层安全漏洞和数据库的安全隐患，同时实现对单位作为业主或其负责运维的信息系统在发现漏洞时的有序管理，实现安全事件可追踪、可追溯，保障漏洞得到及时、有效地修复，确保各信息系统的安全运行。</w:t>
      </w:r>
    </w:p>
    <w:p w14:paraId="3928526C">
      <w:pPr>
        <w:pStyle w:val="5"/>
        <w:spacing w:line="360" w:lineRule="auto"/>
        <w:ind w:firstLine="482"/>
        <w:rPr>
          <w:highlight w:val="none"/>
        </w:rPr>
      </w:pPr>
      <w:r>
        <w:rPr>
          <w:rFonts w:ascii="宋体" w:hAnsi="宋体" w:eastAsia="宋体" w:cs="宋体"/>
          <w:b/>
          <w:sz w:val="24"/>
          <w:highlight w:val="none"/>
        </w:rPr>
        <w:t>交付成果：《应用安全检测报告》</w:t>
      </w:r>
    </w:p>
    <w:p w14:paraId="3D724AD4">
      <w:pPr>
        <w:pStyle w:val="5"/>
        <w:spacing w:line="360" w:lineRule="auto"/>
        <w:ind w:firstLine="482"/>
        <w:jc w:val="both"/>
        <w:rPr>
          <w:highlight w:val="none"/>
        </w:rPr>
      </w:pPr>
      <w:r>
        <w:rPr>
          <w:rFonts w:ascii="宋体" w:hAnsi="宋体" w:eastAsia="宋体" w:cs="宋体"/>
          <w:b/>
          <w:sz w:val="24"/>
          <w:highlight w:val="none"/>
        </w:rPr>
        <w:t>2.3.3</w:t>
      </w:r>
      <w:r>
        <w:rPr>
          <w:rFonts w:ascii="宋体" w:hAnsi="宋体" w:eastAsia="宋体" w:cs="宋体"/>
          <w:sz w:val="24"/>
          <w:highlight w:val="none"/>
        </w:rPr>
        <w:t>安全渗透测试服务</w:t>
      </w:r>
    </w:p>
    <w:p w14:paraId="3D7DEF21">
      <w:pPr>
        <w:pStyle w:val="5"/>
        <w:spacing w:line="360" w:lineRule="auto"/>
        <w:ind w:firstLine="482"/>
        <w:jc w:val="both"/>
        <w:rPr>
          <w:highlight w:val="none"/>
        </w:rPr>
      </w:pPr>
      <w:r>
        <w:rPr>
          <w:rFonts w:ascii="宋体" w:hAnsi="宋体" w:eastAsia="宋体" w:cs="宋体"/>
          <w:b/>
          <w:sz w:val="24"/>
          <w:highlight w:val="none"/>
        </w:rPr>
        <w:t>2.3.3.1</w:t>
      </w:r>
      <w:r>
        <w:rPr>
          <w:rFonts w:ascii="宋体" w:hAnsi="宋体" w:eastAsia="宋体" w:cs="宋体"/>
          <w:sz w:val="24"/>
          <w:highlight w:val="none"/>
        </w:rPr>
        <w:t>网站安全渗透测试服务</w:t>
      </w:r>
    </w:p>
    <w:p w14:paraId="64E0ADEE">
      <w:pPr>
        <w:pStyle w:val="5"/>
        <w:spacing w:line="360" w:lineRule="auto"/>
        <w:ind w:firstLine="480"/>
        <w:jc w:val="both"/>
        <w:rPr>
          <w:highlight w:val="none"/>
        </w:rPr>
      </w:pPr>
      <w:r>
        <w:rPr>
          <w:rFonts w:ascii="宋体" w:hAnsi="宋体" w:eastAsia="宋体" w:cs="宋体"/>
          <w:sz w:val="24"/>
          <w:highlight w:val="none"/>
        </w:rPr>
        <w:t>定期每半年安排渗透测试团队采用人工黑盒的方式对用户的应用系统进行模拟攻击测试。主要测试方法包括：信息收集、端口扫描、远程溢出、口令猜测、本地溢出、客户端攻击、中间人攻击、Web脚本渗透、B/S或C/S应用程序测试等，渗透结果进行人工分析，并对漏洞提交源代码加固建议报告。</w:t>
      </w:r>
    </w:p>
    <w:p w14:paraId="7CE70FF6">
      <w:pPr>
        <w:pStyle w:val="5"/>
        <w:spacing w:line="360" w:lineRule="auto"/>
        <w:ind w:firstLine="482"/>
        <w:jc w:val="both"/>
        <w:rPr>
          <w:highlight w:val="none"/>
        </w:rPr>
      </w:pPr>
      <w:r>
        <w:rPr>
          <w:rFonts w:ascii="宋体" w:hAnsi="宋体" w:eastAsia="宋体" w:cs="宋体"/>
          <w:b/>
          <w:sz w:val="24"/>
          <w:highlight w:val="none"/>
        </w:rPr>
        <w:t>2.3.3.2</w:t>
      </w:r>
      <w:r>
        <w:rPr>
          <w:rFonts w:ascii="宋体" w:hAnsi="宋体" w:eastAsia="宋体" w:cs="宋体"/>
          <w:sz w:val="24"/>
          <w:highlight w:val="none"/>
        </w:rPr>
        <w:t>应用安全渗透测试服务</w:t>
      </w:r>
    </w:p>
    <w:p w14:paraId="110313AF">
      <w:pPr>
        <w:pStyle w:val="5"/>
        <w:spacing w:line="360" w:lineRule="auto"/>
        <w:ind w:firstLine="480"/>
        <w:rPr>
          <w:highlight w:val="none"/>
        </w:rPr>
      </w:pPr>
      <w:r>
        <w:rPr>
          <w:rFonts w:ascii="宋体" w:hAnsi="宋体" w:eastAsia="宋体" w:cs="宋体"/>
          <w:sz w:val="24"/>
          <w:highlight w:val="none"/>
        </w:rPr>
        <w:t>定期每半年针对应用系统进行专家级人工的渗透测试服务，全面检测Web应用程序的安全性，深度挖掘程序中存在的各种漏洞和所面临的威胁，漏洞测试覆盖OWASP十大漏洞，如XSS跨站脚本攻击漏洞、SQL注入漏洞、恶意代码上传漏洞、Cookie注入漏洞及其它各种敏感信息的检查等。</w:t>
      </w:r>
    </w:p>
    <w:p w14:paraId="4605BCFF">
      <w:pPr>
        <w:pStyle w:val="5"/>
        <w:spacing w:line="360" w:lineRule="auto"/>
        <w:ind w:firstLine="482"/>
        <w:jc w:val="both"/>
        <w:rPr>
          <w:highlight w:val="none"/>
        </w:rPr>
      </w:pPr>
      <w:r>
        <w:rPr>
          <w:rFonts w:ascii="宋体" w:hAnsi="宋体" w:eastAsia="宋体" w:cs="宋体"/>
          <w:b/>
          <w:sz w:val="24"/>
          <w:highlight w:val="none"/>
        </w:rPr>
        <w:t>2.3.3.3</w:t>
      </w:r>
      <w:r>
        <w:rPr>
          <w:rFonts w:ascii="宋体" w:hAnsi="宋体" w:eastAsia="宋体" w:cs="宋体"/>
          <w:sz w:val="24"/>
          <w:highlight w:val="none"/>
        </w:rPr>
        <w:t>安全加固建议及辅导服务</w:t>
      </w:r>
    </w:p>
    <w:p w14:paraId="02B8479D">
      <w:pPr>
        <w:pStyle w:val="5"/>
        <w:spacing w:line="360" w:lineRule="auto"/>
        <w:ind w:firstLine="480"/>
        <w:rPr>
          <w:highlight w:val="none"/>
        </w:rPr>
      </w:pPr>
      <w:r>
        <w:rPr>
          <w:rFonts w:ascii="宋体" w:hAnsi="宋体" w:eastAsia="宋体" w:cs="宋体"/>
          <w:sz w:val="24"/>
          <w:highlight w:val="none"/>
        </w:rPr>
        <w:t>根据渗透测试结果，提供详细的应用安全加固建议，并协助应用开发公司完成应用加固，并提供复查以确保漏洞得到修复。</w:t>
      </w:r>
    </w:p>
    <w:p w14:paraId="0E585D25">
      <w:pPr>
        <w:pStyle w:val="5"/>
        <w:spacing w:line="360" w:lineRule="auto"/>
        <w:ind w:firstLine="482"/>
        <w:jc w:val="both"/>
        <w:rPr>
          <w:highlight w:val="none"/>
        </w:rPr>
      </w:pPr>
      <w:r>
        <w:rPr>
          <w:rFonts w:ascii="宋体" w:hAnsi="宋体" w:eastAsia="宋体" w:cs="宋体"/>
          <w:b/>
          <w:sz w:val="24"/>
          <w:highlight w:val="none"/>
        </w:rPr>
        <w:t>2.3.3.4</w:t>
      </w:r>
      <w:r>
        <w:rPr>
          <w:rFonts w:ascii="宋体" w:hAnsi="宋体" w:eastAsia="宋体" w:cs="宋体"/>
          <w:sz w:val="24"/>
          <w:highlight w:val="none"/>
        </w:rPr>
        <w:t>服务价值与交付成果</w:t>
      </w:r>
    </w:p>
    <w:p w14:paraId="0ED50F1E">
      <w:pPr>
        <w:pStyle w:val="5"/>
        <w:spacing w:line="360" w:lineRule="auto"/>
        <w:ind w:firstLine="480"/>
        <w:rPr>
          <w:highlight w:val="none"/>
        </w:rPr>
      </w:pPr>
      <w:r>
        <w:rPr>
          <w:rFonts w:ascii="宋体" w:hAnsi="宋体" w:eastAsia="宋体" w:cs="宋体"/>
          <w:sz w:val="24"/>
          <w:highlight w:val="none"/>
        </w:rPr>
        <w:t>（1）深度挖掘应用系统中的安全漏洞，并判断漏洞可能造成的最大限度的损失；</w:t>
      </w:r>
    </w:p>
    <w:p w14:paraId="0363A457">
      <w:pPr>
        <w:pStyle w:val="5"/>
        <w:spacing w:line="360" w:lineRule="auto"/>
        <w:ind w:firstLine="480"/>
        <w:rPr>
          <w:highlight w:val="none"/>
        </w:rPr>
      </w:pPr>
      <w:r>
        <w:rPr>
          <w:rFonts w:ascii="宋体" w:hAnsi="宋体" w:eastAsia="宋体" w:cs="宋体"/>
          <w:sz w:val="24"/>
          <w:highlight w:val="none"/>
        </w:rPr>
        <w:t>（2）以最权威的客户数据，让客户感受应用系统安全漏洞将带来的影响和损失，以便做好安全损失与保护的评估。</w:t>
      </w:r>
    </w:p>
    <w:p w14:paraId="7A02E2F5">
      <w:pPr>
        <w:pStyle w:val="5"/>
        <w:spacing w:line="360" w:lineRule="auto"/>
        <w:ind w:firstLine="482"/>
        <w:rPr>
          <w:highlight w:val="none"/>
        </w:rPr>
      </w:pPr>
      <w:r>
        <w:rPr>
          <w:rFonts w:ascii="宋体" w:hAnsi="宋体" w:eastAsia="宋体" w:cs="宋体"/>
          <w:b/>
          <w:sz w:val="24"/>
          <w:highlight w:val="none"/>
        </w:rPr>
        <w:t>交付成果：《安全渗透测试报告》</w:t>
      </w:r>
    </w:p>
    <w:p w14:paraId="26E63988">
      <w:pPr>
        <w:pStyle w:val="5"/>
        <w:spacing w:line="360" w:lineRule="auto"/>
        <w:ind w:firstLine="482"/>
        <w:jc w:val="both"/>
        <w:rPr>
          <w:highlight w:val="none"/>
        </w:rPr>
      </w:pPr>
      <w:r>
        <w:rPr>
          <w:rFonts w:ascii="宋体" w:hAnsi="宋体" w:eastAsia="宋体" w:cs="宋体"/>
          <w:b/>
          <w:sz w:val="24"/>
          <w:highlight w:val="none"/>
        </w:rPr>
        <w:t>2.4</w:t>
      </w:r>
      <w:r>
        <w:rPr>
          <w:rFonts w:ascii="宋体" w:hAnsi="宋体" w:eastAsia="宋体" w:cs="宋体"/>
          <w:sz w:val="24"/>
          <w:highlight w:val="none"/>
        </w:rPr>
        <w:t>综合应急安全保障服务</w:t>
      </w:r>
    </w:p>
    <w:p w14:paraId="06AA9DA4">
      <w:pPr>
        <w:pStyle w:val="5"/>
        <w:spacing w:line="360" w:lineRule="auto"/>
        <w:ind w:firstLine="482"/>
        <w:jc w:val="both"/>
        <w:rPr>
          <w:highlight w:val="none"/>
        </w:rPr>
      </w:pPr>
      <w:r>
        <w:rPr>
          <w:rFonts w:ascii="宋体" w:hAnsi="宋体" w:eastAsia="宋体" w:cs="宋体"/>
          <w:b/>
          <w:sz w:val="24"/>
          <w:highlight w:val="none"/>
        </w:rPr>
        <w:t>2.4.1</w:t>
      </w:r>
      <w:r>
        <w:rPr>
          <w:rFonts w:ascii="宋体" w:hAnsi="宋体" w:eastAsia="宋体" w:cs="宋体"/>
          <w:sz w:val="24"/>
          <w:highlight w:val="none"/>
        </w:rPr>
        <w:t>安全应急演练服务</w:t>
      </w:r>
    </w:p>
    <w:p w14:paraId="3725CD59">
      <w:pPr>
        <w:pStyle w:val="5"/>
        <w:spacing w:line="360" w:lineRule="auto"/>
        <w:ind w:firstLine="482"/>
        <w:jc w:val="both"/>
        <w:rPr>
          <w:highlight w:val="none"/>
        </w:rPr>
      </w:pPr>
      <w:r>
        <w:rPr>
          <w:rFonts w:ascii="宋体" w:hAnsi="宋体" w:eastAsia="宋体" w:cs="宋体"/>
          <w:b/>
          <w:sz w:val="24"/>
          <w:highlight w:val="none"/>
        </w:rPr>
        <w:t>2.4.1.1</w:t>
      </w:r>
      <w:r>
        <w:rPr>
          <w:rFonts w:ascii="宋体" w:hAnsi="宋体" w:eastAsia="宋体" w:cs="宋体"/>
          <w:sz w:val="24"/>
          <w:highlight w:val="none"/>
        </w:rPr>
        <w:t>应用应急预案设计服务</w:t>
      </w:r>
    </w:p>
    <w:p w14:paraId="539E782E">
      <w:pPr>
        <w:pStyle w:val="5"/>
        <w:spacing w:line="360" w:lineRule="auto"/>
        <w:ind w:firstLine="480"/>
        <w:rPr>
          <w:highlight w:val="none"/>
        </w:rPr>
      </w:pPr>
      <w:r>
        <w:rPr>
          <w:rFonts w:ascii="宋体" w:hAnsi="宋体" w:eastAsia="宋体" w:cs="宋体"/>
          <w:sz w:val="24"/>
          <w:highlight w:val="none"/>
        </w:rPr>
        <w:t>针对单位自身的网络实际情况，并结合网络安全应急处置相关的政策要求，每年设计出1份符合单位要求的安全应急预案，预案中包括5个场景。</w:t>
      </w:r>
    </w:p>
    <w:p w14:paraId="68B12B87">
      <w:pPr>
        <w:pStyle w:val="5"/>
        <w:spacing w:line="360" w:lineRule="auto"/>
        <w:ind w:firstLine="480"/>
        <w:rPr>
          <w:highlight w:val="none"/>
        </w:rPr>
      </w:pPr>
      <w:r>
        <w:rPr>
          <w:rFonts w:ascii="宋体" w:hAnsi="宋体" w:eastAsia="宋体" w:cs="宋体"/>
          <w:sz w:val="24"/>
          <w:highlight w:val="none"/>
        </w:rPr>
        <w:t>制定应急预案管理的责任部门，建立统一的应急预案框架，框架应包括事件分级方法、各级事件启动应急预案的条件、应急处理流程、系统恢复流程、事后教育和培训等内容；在应急预案框架制定不同事件的应急预案，应急预案要指名适用的系统、设备等，要结合系统实际状况。比如针对门户网站的网页篡改、针对业务系统的入侵等。组织信息网络应急保障队伍，开展应急演练，做好应急演练相关文档记录。</w:t>
      </w:r>
    </w:p>
    <w:p w14:paraId="2FB916EA">
      <w:pPr>
        <w:pStyle w:val="5"/>
        <w:spacing w:line="360" w:lineRule="auto"/>
        <w:ind w:firstLine="482"/>
        <w:jc w:val="both"/>
        <w:rPr>
          <w:highlight w:val="none"/>
        </w:rPr>
      </w:pPr>
      <w:r>
        <w:rPr>
          <w:rFonts w:ascii="宋体" w:hAnsi="宋体" w:eastAsia="宋体" w:cs="宋体"/>
          <w:b/>
          <w:sz w:val="24"/>
          <w:highlight w:val="none"/>
        </w:rPr>
        <w:t>2.4.1.2</w:t>
      </w:r>
      <w:r>
        <w:rPr>
          <w:rFonts w:ascii="宋体" w:hAnsi="宋体" w:eastAsia="宋体" w:cs="宋体"/>
          <w:sz w:val="24"/>
          <w:highlight w:val="none"/>
        </w:rPr>
        <w:t>应用应急演练服务</w:t>
      </w:r>
    </w:p>
    <w:p w14:paraId="47618E36">
      <w:pPr>
        <w:pStyle w:val="5"/>
        <w:spacing w:line="360" w:lineRule="auto"/>
        <w:ind w:firstLine="480"/>
        <w:rPr>
          <w:highlight w:val="none"/>
        </w:rPr>
      </w:pPr>
      <w:r>
        <w:rPr>
          <w:rFonts w:ascii="宋体" w:hAnsi="宋体" w:eastAsia="宋体" w:cs="宋体"/>
          <w:sz w:val="24"/>
          <w:highlight w:val="none"/>
        </w:rPr>
        <w:t>为保障网络与信息系统安全，预防和遏制网站及应用系统突发安全事件的发生，减轻和消除突发事件造成的危害和影响，每年组织技术力量共同完成1次应急演练，包含安全应急预案中3个场景，演练完成后提交《应急演练报告》及相关应急演练记录，确保能够应对各类安全事件的发生。</w:t>
      </w:r>
    </w:p>
    <w:p w14:paraId="21AB66C0">
      <w:pPr>
        <w:pStyle w:val="5"/>
        <w:spacing w:line="360" w:lineRule="auto"/>
        <w:ind w:firstLine="482"/>
        <w:jc w:val="both"/>
        <w:rPr>
          <w:highlight w:val="none"/>
        </w:rPr>
      </w:pPr>
      <w:r>
        <w:rPr>
          <w:rFonts w:ascii="宋体" w:hAnsi="宋体" w:eastAsia="宋体" w:cs="宋体"/>
          <w:b/>
          <w:sz w:val="24"/>
          <w:highlight w:val="none"/>
        </w:rPr>
        <w:t>2.4.1.3</w:t>
      </w:r>
      <w:r>
        <w:rPr>
          <w:rFonts w:ascii="宋体" w:hAnsi="宋体" w:eastAsia="宋体" w:cs="宋体"/>
          <w:sz w:val="24"/>
          <w:highlight w:val="none"/>
        </w:rPr>
        <w:t>服务价值与交付成果</w:t>
      </w:r>
    </w:p>
    <w:p w14:paraId="483CED9F">
      <w:pPr>
        <w:pStyle w:val="5"/>
        <w:spacing w:line="360" w:lineRule="auto"/>
        <w:ind w:firstLine="480"/>
        <w:rPr>
          <w:highlight w:val="none"/>
        </w:rPr>
      </w:pPr>
      <w:r>
        <w:rPr>
          <w:rFonts w:ascii="宋体" w:hAnsi="宋体" w:eastAsia="宋体" w:cs="宋体"/>
          <w:sz w:val="24"/>
          <w:highlight w:val="none"/>
        </w:rPr>
        <w:t>通过开展安全应急演练，提高单位对安全突发事件的组织指挥能力和应急处置能力。</w:t>
      </w:r>
    </w:p>
    <w:p w14:paraId="2D1B03F9">
      <w:pPr>
        <w:pStyle w:val="5"/>
        <w:spacing w:line="360" w:lineRule="auto"/>
        <w:ind w:firstLine="482"/>
        <w:rPr>
          <w:highlight w:val="none"/>
        </w:rPr>
      </w:pPr>
      <w:r>
        <w:rPr>
          <w:rFonts w:ascii="宋体" w:hAnsi="宋体" w:eastAsia="宋体" w:cs="宋体"/>
          <w:b/>
          <w:sz w:val="24"/>
          <w:highlight w:val="none"/>
        </w:rPr>
        <w:t>交付成果：《安全应急预案》、《安全应急演练报告》</w:t>
      </w:r>
    </w:p>
    <w:p w14:paraId="69A9DB19">
      <w:pPr>
        <w:pStyle w:val="5"/>
        <w:spacing w:line="360" w:lineRule="auto"/>
        <w:ind w:firstLine="482"/>
        <w:jc w:val="both"/>
        <w:rPr>
          <w:highlight w:val="none"/>
        </w:rPr>
      </w:pPr>
      <w:r>
        <w:rPr>
          <w:rFonts w:ascii="宋体" w:hAnsi="宋体" w:eastAsia="宋体" w:cs="宋体"/>
          <w:b/>
          <w:sz w:val="24"/>
          <w:highlight w:val="none"/>
        </w:rPr>
        <w:t>2.4.2</w:t>
      </w:r>
      <w:r>
        <w:rPr>
          <w:rFonts w:ascii="宋体" w:hAnsi="宋体" w:eastAsia="宋体" w:cs="宋体"/>
          <w:sz w:val="24"/>
          <w:highlight w:val="none"/>
        </w:rPr>
        <w:t>安全应急响应服务</w:t>
      </w:r>
    </w:p>
    <w:p w14:paraId="33293DBE">
      <w:pPr>
        <w:pStyle w:val="5"/>
        <w:spacing w:line="360" w:lineRule="auto"/>
        <w:ind w:firstLine="482"/>
        <w:jc w:val="both"/>
        <w:rPr>
          <w:highlight w:val="none"/>
        </w:rPr>
      </w:pPr>
      <w:r>
        <w:rPr>
          <w:rFonts w:ascii="宋体" w:hAnsi="宋体" w:eastAsia="宋体" w:cs="宋体"/>
          <w:b/>
          <w:sz w:val="24"/>
          <w:highlight w:val="none"/>
        </w:rPr>
        <w:t>2.4.2.1</w:t>
      </w:r>
      <w:r>
        <w:rPr>
          <w:rFonts w:ascii="宋体" w:hAnsi="宋体" w:eastAsia="宋体" w:cs="宋体"/>
          <w:sz w:val="24"/>
          <w:highlight w:val="none"/>
        </w:rPr>
        <w:t>安全应急响应服务</w:t>
      </w:r>
    </w:p>
    <w:p w14:paraId="5081768B">
      <w:pPr>
        <w:pStyle w:val="5"/>
        <w:spacing w:line="360" w:lineRule="auto"/>
        <w:ind w:firstLine="480"/>
        <w:rPr>
          <w:highlight w:val="none"/>
        </w:rPr>
      </w:pPr>
      <w:r>
        <w:rPr>
          <w:rFonts w:ascii="宋体" w:hAnsi="宋体" w:eastAsia="宋体" w:cs="宋体"/>
          <w:sz w:val="24"/>
          <w:highlight w:val="none"/>
        </w:rPr>
        <w:t>当单位网络和信息系统遇到黑客攻击或网页篡改等恶性事件，迅速对事件作出相应的判断，确认事件给信息系统带来的影响和损害程度，区分一般事件和应急响应事件等，如果确认事件为应急响应事件且远程支持无法解决时，1小时内安排工程师到达现场处置，实施最有效的紧急救援及恢复补救方案。</w:t>
      </w:r>
    </w:p>
    <w:p w14:paraId="2E9F5B08">
      <w:pPr>
        <w:pStyle w:val="5"/>
        <w:spacing w:line="360" w:lineRule="auto"/>
        <w:ind w:firstLine="482"/>
        <w:jc w:val="both"/>
        <w:rPr>
          <w:highlight w:val="none"/>
        </w:rPr>
      </w:pPr>
      <w:r>
        <w:rPr>
          <w:rFonts w:ascii="宋体" w:hAnsi="宋体" w:eastAsia="宋体" w:cs="宋体"/>
          <w:b/>
          <w:sz w:val="24"/>
          <w:highlight w:val="none"/>
        </w:rPr>
        <w:t>2.4.2.2</w:t>
      </w:r>
      <w:r>
        <w:rPr>
          <w:rFonts w:ascii="宋体" w:hAnsi="宋体" w:eastAsia="宋体" w:cs="宋体"/>
          <w:sz w:val="24"/>
          <w:highlight w:val="none"/>
        </w:rPr>
        <w:t>安全应急处置服务</w:t>
      </w:r>
    </w:p>
    <w:p w14:paraId="7CE29493">
      <w:pPr>
        <w:pStyle w:val="5"/>
        <w:spacing w:line="360" w:lineRule="auto"/>
        <w:ind w:firstLine="480"/>
        <w:rPr>
          <w:highlight w:val="none"/>
        </w:rPr>
      </w:pPr>
      <w:r>
        <w:rPr>
          <w:rFonts w:ascii="宋体" w:hAnsi="宋体" w:eastAsia="宋体" w:cs="宋体"/>
          <w:sz w:val="24"/>
          <w:highlight w:val="none"/>
        </w:rPr>
        <w:t>根据突发事件信息，初步判定突发事件的程度。能够自行解决，要及时加以解决；如果不能自行解决故障，由单位领导现场指挥，协调各部门力量，按照分工负责的原则，组织相关技术人员立即启动应急预案，进入应急预案的处置程序，及时控制安全事件的蔓延，采取有效的措施以防止事件进一步扩大，尽可能地减少负面影响。</w:t>
      </w:r>
    </w:p>
    <w:p w14:paraId="58C46BFF">
      <w:pPr>
        <w:pStyle w:val="5"/>
        <w:spacing w:line="360" w:lineRule="auto"/>
        <w:ind w:firstLine="482"/>
        <w:jc w:val="both"/>
        <w:rPr>
          <w:highlight w:val="none"/>
        </w:rPr>
      </w:pPr>
      <w:r>
        <w:rPr>
          <w:rFonts w:ascii="宋体" w:hAnsi="宋体" w:eastAsia="宋体" w:cs="宋体"/>
          <w:b/>
          <w:sz w:val="24"/>
          <w:highlight w:val="none"/>
        </w:rPr>
        <w:t>2.4.2.3</w:t>
      </w:r>
      <w:r>
        <w:rPr>
          <w:rFonts w:ascii="宋体" w:hAnsi="宋体" w:eastAsia="宋体" w:cs="宋体"/>
          <w:sz w:val="24"/>
          <w:highlight w:val="none"/>
        </w:rPr>
        <w:t>远程安全咨询服务</w:t>
      </w:r>
    </w:p>
    <w:p w14:paraId="6AB36217">
      <w:pPr>
        <w:pStyle w:val="5"/>
        <w:spacing w:line="360" w:lineRule="auto"/>
        <w:ind w:firstLine="480"/>
        <w:rPr>
          <w:highlight w:val="none"/>
        </w:rPr>
      </w:pPr>
      <w:r>
        <w:rPr>
          <w:rFonts w:ascii="宋体" w:hAnsi="宋体" w:eastAsia="宋体" w:cs="宋体"/>
          <w:sz w:val="24"/>
          <w:highlight w:val="none"/>
        </w:rPr>
        <w:t>当单位网络和信息系统故障或出现安全事件时能立即通过电话咨询或远程维护等方式提供7×24小时远程安全咨询服务支持。</w:t>
      </w:r>
    </w:p>
    <w:p w14:paraId="34AC7D19">
      <w:pPr>
        <w:pStyle w:val="5"/>
        <w:spacing w:line="360" w:lineRule="auto"/>
        <w:ind w:firstLine="482"/>
        <w:jc w:val="both"/>
        <w:rPr>
          <w:highlight w:val="none"/>
        </w:rPr>
      </w:pPr>
      <w:r>
        <w:rPr>
          <w:rFonts w:ascii="宋体" w:hAnsi="宋体" w:eastAsia="宋体" w:cs="宋体"/>
          <w:b/>
          <w:sz w:val="24"/>
          <w:highlight w:val="none"/>
        </w:rPr>
        <w:t>2.4.2.4</w:t>
      </w:r>
      <w:r>
        <w:rPr>
          <w:rFonts w:ascii="宋体" w:hAnsi="宋体" w:eastAsia="宋体" w:cs="宋体"/>
          <w:sz w:val="24"/>
          <w:highlight w:val="none"/>
        </w:rPr>
        <w:t>网络安全设备应急服务</w:t>
      </w:r>
    </w:p>
    <w:p w14:paraId="798A10E5">
      <w:pPr>
        <w:pStyle w:val="5"/>
        <w:spacing w:line="360" w:lineRule="auto"/>
        <w:ind w:firstLine="480"/>
        <w:rPr>
          <w:highlight w:val="none"/>
        </w:rPr>
      </w:pPr>
      <w:r>
        <w:rPr>
          <w:rFonts w:ascii="宋体" w:hAnsi="宋体" w:eastAsia="宋体" w:cs="宋体"/>
          <w:sz w:val="24"/>
          <w:highlight w:val="none"/>
        </w:rPr>
        <w:t>出现安全设备故障问题，存在设备厂商无法提供及时、有效的售后服务风险，临时提供借用设备进行支撑，保证故障期间业务的正常运行。</w:t>
      </w:r>
    </w:p>
    <w:p w14:paraId="1F8FE186">
      <w:pPr>
        <w:pStyle w:val="5"/>
        <w:spacing w:line="360" w:lineRule="auto"/>
        <w:ind w:firstLine="480"/>
        <w:rPr>
          <w:highlight w:val="none"/>
        </w:rPr>
      </w:pPr>
      <w:r>
        <w:rPr>
          <w:rFonts w:ascii="宋体" w:hAnsi="宋体" w:eastAsia="宋体" w:cs="宋体"/>
          <w:sz w:val="24"/>
          <w:highlight w:val="none"/>
        </w:rPr>
        <w:t>同时，安全设备过保但无法及时采购相应设备或维保服务等情况需要网络安全设备的情况时，提供网络安全设备的借用作为应急使用。</w:t>
      </w:r>
    </w:p>
    <w:p w14:paraId="54A171F3">
      <w:pPr>
        <w:pStyle w:val="5"/>
        <w:spacing w:line="360" w:lineRule="auto"/>
        <w:ind w:firstLine="480"/>
        <w:rPr>
          <w:highlight w:val="none"/>
        </w:rPr>
      </w:pPr>
      <w:r>
        <w:rPr>
          <w:rFonts w:ascii="宋体" w:hAnsi="宋体" w:eastAsia="宋体" w:cs="宋体"/>
          <w:sz w:val="24"/>
          <w:highlight w:val="none"/>
        </w:rPr>
        <w:t>可借用网络安全设备主要包括防火墙、入侵防御、上网行为管理、日志审计、数据库审计、堡垒机等多类型设备，具体借用设备类型、借用时间等事项另行协商。</w:t>
      </w:r>
    </w:p>
    <w:p w14:paraId="59D0E947">
      <w:pPr>
        <w:pStyle w:val="5"/>
        <w:spacing w:line="360" w:lineRule="auto"/>
        <w:ind w:firstLine="482"/>
        <w:jc w:val="both"/>
        <w:rPr>
          <w:highlight w:val="none"/>
        </w:rPr>
      </w:pPr>
      <w:r>
        <w:rPr>
          <w:rFonts w:ascii="宋体" w:hAnsi="宋体" w:eastAsia="宋体" w:cs="宋体"/>
          <w:b/>
          <w:sz w:val="24"/>
          <w:highlight w:val="none"/>
        </w:rPr>
        <w:t>2.4.2.5</w:t>
      </w:r>
      <w:r>
        <w:rPr>
          <w:rFonts w:ascii="宋体" w:hAnsi="宋体" w:eastAsia="宋体" w:cs="宋体"/>
          <w:sz w:val="24"/>
          <w:highlight w:val="none"/>
        </w:rPr>
        <w:t>服务价值与交付成果</w:t>
      </w:r>
    </w:p>
    <w:p w14:paraId="41DE191A">
      <w:pPr>
        <w:pStyle w:val="5"/>
        <w:spacing w:line="360" w:lineRule="auto"/>
        <w:ind w:firstLine="480"/>
        <w:rPr>
          <w:highlight w:val="none"/>
        </w:rPr>
      </w:pPr>
      <w:r>
        <w:rPr>
          <w:rFonts w:ascii="宋体" w:hAnsi="宋体" w:eastAsia="宋体" w:cs="宋体"/>
          <w:sz w:val="24"/>
          <w:highlight w:val="none"/>
        </w:rPr>
        <w:t>通过应急响应为遇到黑客攻击或网页篡改等恶性事件，实施最有效的紧急救援及恢复补救工作。</w:t>
      </w:r>
    </w:p>
    <w:p w14:paraId="423D0AB7">
      <w:pPr>
        <w:pStyle w:val="5"/>
        <w:spacing w:line="360" w:lineRule="auto"/>
        <w:ind w:firstLine="482"/>
        <w:rPr>
          <w:highlight w:val="none"/>
        </w:rPr>
      </w:pPr>
      <w:r>
        <w:rPr>
          <w:rFonts w:ascii="宋体" w:hAnsi="宋体" w:eastAsia="宋体" w:cs="宋体"/>
          <w:b/>
          <w:sz w:val="24"/>
          <w:highlight w:val="none"/>
        </w:rPr>
        <w:t>交付成果：发生安全事件应急响应后提交《安全应急响应报告》</w:t>
      </w:r>
    </w:p>
    <w:p w14:paraId="5A1F271C">
      <w:pPr>
        <w:pStyle w:val="5"/>
        <w:spacing w:line="360" w:lineRule="auto"/>
        <w:ind w:firstLine="482"/>
        <w:jc w:val="both"/>
        <w:rPr>
          <w:highlight w:val="none"/>
        </w:rPr>
      </w:pPr>
      <w:r>
        <w:rPr>
          <w:rFonts w:ascii="宋体" w:hAnsi="宋体" w:eastAsia="宋体" w:cs="宋体"/>
          <w:b/>
          <w:sz w:val="24"/>
          <w:highlight w:val="none"/>
        </w:rPr>
        <w:t>2.4.3</w:t>
      </w:r>
      <w:r>
        <w:rPr>
          <w:rFonts w:ascii="宋体" w:hAnsi="宋体" w:eastAsia="宋体" w:cs="宋体"/>
          <w:sz w:val="24"/>
          <w:highlight w:val="none"/>
        </w:rPr>
        <w:t>安全检查专题服务</w:t>
      </w:r>
    </w:p>
    <w:p w14:paraId="4D66B660">
      <w:pPr>
        <w:pStyle w:val="5"/>
        <w:spacing w:line="360" w:lineRule="auto"/>
        <w:ind w:firstLine="482"/>
        <w:jc w:val="both"/>
        <w:rPr>
          <w:highlight w:val="none"/>
        </w:rPr>
      </w:pPr>
      <w:r>
        <w:rPr>
          <w:rFonts w:ascii="宋体" w:hAnsi="宋体" w:eastAsia="宋体" w:cs="宋体"/>
          <w:b/>
          <w:sz w:val="24"/>
          <w:highlight w:val="none"/>
        </w:rPr>
        <w:t>2.4.3.1</w:t>
      </w:r>
      <w:r>
        <w:rPr>
          <w:rFonts w:ascii="宋体" w:hAnsi="宋体" w:eastAsia="宋体" w:cs="宋体"/>
          <w:sz w:val="24"/>
          <w:highlight w:val="none"/>
        </w:rPr>
        <w:t>安全检查专题服务</w:t>
      </w:r>
    </w:p>
    <w:p w14:paraId="3EA89ECF">
      <w:pPr>
        <w:pStyle w:val="5"/>
        <w:spacing w:line="360" w:lineRule="auto"/>
        <w:ind w:firstLine="480"/>
        <w:rPr>
          <w:highlight w:val="none"/>
        </w:rPr>
      </w:pPr>
      <w:r>
        <w:rPr>
          <w:rFonts w:ascii="宋体" w:hAnsi="宋体" w:eastAsia="宋体" w:cs="宋体"/>
          <w:sz w:val="24"/>
          <w:highlight w:val="none"/>
        </w:rPr>
        <w:t>在上级监管部门对单位进行安全检查期间，协助单位按照上级监管部门要求，进行专门的全面安全检查协助服务和保障协助，包括协助单位梳理出单位现有的信息安全管理制度相关材料等。</w:t>
      </w:r>
    </w:p>
    <w:p w14:paraId="2268D47A">
      <w:pPr>
        <w:pStyle w:val="5"/>
        <w:spacing w:line="360" w:lineRule="auto"/>
        <w:ind w:firstLine="482"/>
        <w:jc w:val="both"/>
        <w:rPr>
          <w:highlight w:val="none"/>
        </w:rPr>
      </w:pPr>
      <w:r>
        <w:rPr>
          <w:rFonts w:ascii="宋体" w:hAnsi="宋体" w:eastAsia="宋体" w:cs="宋体"/>
          <w:b/>
          <w:sz w:val="24"/>
          <w:highlight w:val="none"/>
        </w:rPr>
        <w:t>2.4.3.2</w:t>
      </w:r>
      <w:r>
        <w:rPr>
          <w:rFonts w:ascii="宋体" w:hAnsi="宋体" w:eastAsia="宋体" w:cs="宋体"/>
          <w:sz w:val="24"/>
          <w:highlight w:val="none"/>
        </w:rPr>
        <w:t>服务价值与交付成果</w:t>
      </w:r>
    </w:p>
    <w:p w14:paraId="66303B66">
      <w:pPr>
        <w:pStyle w:val="5"/>
        <w:spacing w:line="360" w:lineRule="auto"/>
        <w:ind w:firstLine="480"/>
        <w:rPr>
          <w:highlight w:val="none"/>
        </w:rPr>
      </w:pPr>
      <w:r>
        <w:rPr>
          <w:rFonts w:ascii="宋体" w:hAnsi="宋体" w:eastAsia="宋体" w:cs="宋体"/>
          <w:sz w:val="24"/>
          <w:highlight w:val="none"/>
        </w:rPr>
        <w:t>通过安全检查专题服务，保障了在上级监管部门安全检查期间能够进行高效地协助工作。</w:t>
      </w:r>
    </w:p>
    <w:p w14:paraId="00E53D87">
      <w:pPr>
        <w:pStyle w:val="5"/>
        <w:spacing w:line="360" w:lineRule="auto"/>
        <w:ind w:firstLine="482"/>
        <w:rPr>
          <w:highlight w:val="none"/>
        </w:rPr>
      </w:pPr>
      <w:r>
        <w:rPr>
          <w:rFonts w:ascii="宋体" w:hAnsi="宋体" w:eastAsia="宋体" w:cs="宋体"/>
          <w:b/>
          <w:sz w:val="24"/>
          <w:highlight w:val="none"/>
        </w:rPr>
        <w:t>交付成果：安全检查相关材料</w:t>
      </w:r>
    </w:p>
    <w:p w14:paraId="7C278B9D">
      <w:pPr>
        <w:pStyle w:val="5"/>
        <w:spacing w:line="360" w:lineRule="auto"/>
        <w:ind w:firstLine="482"/>
        <w:jc w:val="both"/>
        <w:rPr>
          <w:highlight w:val="none"/>
        </w:rPr>
      </w:pPr>
      <w:r>
        <w:rPr>
          <w:rFonts w:ascii="宋体" w:hAnsi="宋体" w:eastAsia="宋体" w:cs="宋体"/>
          <w:b/>
          <w:sz w:val="24"/>
          <w:highlight w:val="none"/>
        </w:rPr>
        <w:t>2.4.4</w:t>
      </w:r>
      <w:r>
        <w:rPr>
          <w:rFonts w:ascii="宋体" w:hAnsi="宋体" w:eastAsia="宋体" w:cs="宋体"/>
          <w:sz w:val="24"/>
          <w:highlight w:val="none"/>
        </w:rPr>
        <w:t>重要时期保障服务</w:t>
      </w:r>
    </w:p>
    <w:p w14:paraId="1A8605D8">
      <w:pPr>
        <w:pStyle w:val="5"/>
        <w:spacing w:line="360" w:lineRule="auto"/>
        <w:ind w:firstLine="482"/>
        <w:jc w:val="both"/>
        <w:rPr>
          <w:highlight w:val="none"/>
        </w:rPr>
      </w:pPr>
      <w:r>
        <w:rPr>
          <w:rFonts w:ascii="宋体" w:hAnsi="宋体" w:eastAsia="宋体" w:cs="宋体"/>
          <w:b/>
          <w:sz w:val="24"/>
          <w:highlight w:val="none"/>
        </w:rPr>
        <w:t>2.4.4.1</w:t>
      </w:r>
      <w:r>
        <w:rPr>
          <w:rFonts w:ascii="宋体" w:hAnsi="宋体" w:eastAsia="宋体" w:cs="宋体"/>
          <w:sz w:val="24"/>
          <w:highlight w:val="none"/>
        </w:rPr>
        <w:t>重要时期远程保障服务</w:t>
      </w:r>
    </w:p>
    <w:p w14:paraId="7FD4C19D">
      <w:pPr>
        <w:pStyle w:val="5"/>
        <w:spacing w:line="360" w:lineRule="auto"/>
        <w:ind w:firstLine="480"/>
        <w:rPr>
          <w:highlight w:val="none"/>
        </w:rPr>
      </w:pPr>
      <w:r>
        <w:rPr>
          <w:rFonts w:ascii="宋体" w:hAnsi="宋体" w:eastAsia="宋体" w:cs="宋体"/>
          <w:sz w:val="24"/>
          <w:highlight w:val="none"/>
        </w:rPr>
        <w:t>在国庆、两会等重要时期，针对信息系统资产包括主机、网络、应用等系统进行远程保障，包括加强安全监测与处置力度，保障重要时期的安全。</w:t>
      </w:r>
    </w:p>
    <w:p w14:paraId="6FF1AB92">
      <w:pPr>
        <w:pStyle w:val="5"/>
        <w:spacing w:line="360" w:lineRule="auto"/>
        <w:ind w:firstLine="482"/>
        <w:jc w:val="both"/>
        <w:rPr>
          <w:highlight w:val="none"/>
        </w:rPr>
      </w:pPr>
      <w:r>
        <w:rPr>
          <w:rFonts w:ascii="宋体" w:hAnsi="宋体" w:eastAsia="宋体" w:cs="宋体"/>
          <w:b/>
          <w:sz w:val="24"/>
          <w:highlight w:val="none"/>
        </w:rPr>
        <w:t>2.4.4.2</w:t>
      </w:r>
      <w:r>
        <w:rPr>
          <w:rFonts w:ascii="宋体" w:hAnsi="宋体" w:eastAsia="宋体" w:cs="宋体"/>
          <w:sz w:val="24"/>
          <w:highlight w:val="none"/>
        </w:rPr>
        <w:t>服务价值与交付成果</w:t>
      </w:r>
    </w:p>
    <w:p w14:paraId="64729B79">
      <w:pPr>
        <w:pStyle w:val="5"/>
        <w:spacing w:line="360" w:lineRule="auto"/>
        <w:ind w:firstLine="480"/>
        <w:rPr>
          <w:highlight w:val="none"/>
        </w:rPr>
      </w:pPr>
      <w:r>
        <w:rPr>
          <w:rFonts w:ascii="宋体" w:hAnsi="宋体" w:eastAsia="宋体" w:cs="宋体"/>
          <w:sz w:val="24"/>
          <w:highlight w:val="none"/>
        </w:rPr>
        <w:t>在重要时期，通过加强安全支撑，为重要时期的业务稳定运行赋能。</w:t>
      </w:r>
    </w:p>
    <w:p w14:paraId="40C67969">
      <w:pPr>
        <w:pStyle w:val="5"/>
        <w:spacing w:line="360" w:lineRule="auto"/>
        <w:ind w:firstLine="482"/>
        <w:rPr>
          <w:highlight w:val="none"/>
        </w:rPr>
      </w:pPr>
      <w:r>
        <w:rPr>
          <w:rFonts w:ascii="宋体" w:hAnsi="宋体" w:eastAsia="宋体" w:cs="宋体"/>
          <w:b/>
          <w:sz w:val="24"/>
          <w:highlight w:val="none"/>
        </w:rPr>
        <w:t>交付成果：《重要时期远程值守日报》</w:t>
      </w:r>
    </w:p>
    <w:p w14:paraId="133D2829">
      <w:pPr>
        <w:pStyle w:val="5"/>
        <w:spacing w:line="360" w:lineRule="auto"/>
        <w:ind w:firstLine="482"/>
        <w:jc w:val="both"/>
        <w:rPr>
          <w:highlight w:val="none"/>
        </w:rPr>
      </w:pPr>
      <w:r>
        <w:rPr>
          <w:rFonts w:ascii="宋体" w:hAnsi="宋体" w:eastAsia="宋体" w:cs="宋体"/>
          <w:b/>
          <w:sz w:val="24"/>
          <w:highlight w:val="none"/>
        </w:rPr>
        <w:t>2.4.5</w:t>
      </w:r>
      <w:r>
        <w:rPr>
          <w:rFonts w:ascii="宋体" w:hAnsi="宋体" w:eastAsia="宋体" w:cs="宋体"/>
          <w:sz w:val="24"/>
          <w:highlight w:val="none"/>
        </w:rPr>
        <w:t>安全通告服务</w:t>
      </w:r>
    </w:p>
    <w:p w14:paraId="3BA8A716">
      <w:pPr>
        <w:pStyle w:val="5"/>
        <w:spacing w:line="360" w:lineRule="auto"/>
        <w:ind w:firstLine="482"/>
        <w:jc w:val="both"/>
        <w:rPr>
          <w:highlight w:val="none"/>
        </w:rPr>
      </w:pPr>
      <w:r>
        <w:rPr>
          <w:rFonts w:ascii="宋体" w:hAnsi="宋体" w:eastAsia="宋体" w:cs="宋体"/>
          <w:b/>
          <w:sz w:val="24"/>
          <w:highlight w:val="none"/>
        </w:rPr>
        <w:t>2.4.5.1</w:t>
      </w:r>
      <w:r>
        <w:rPr>
          <w:rFonts w:ascii="宋体" w:hAnsi="宋体" w:eastAsia="宋体" w:cs="宋体"/>
          <w:sz w:val="24"/>
          <w:highlight w:val="none"/>
        </w:rPr>
        <w:t>安全通告服务</w:t>
      </w:r>
    </w:p>
    <w:p w14:paraId="2172CCD3">
      <w:pPr>
        <w:pStyle w:val="5"/>
        <w:spacing w:line="360" w:lineRule="auto"/>
        <w:ind w:firstLine="480"/>
        <w:rPr>
          <w:highlight w:val="none"/>
        </w:rPr>
      </w:pPr>
      <w:r>
        <w:rPr>
          <w:rFonts w:ascii="宋体" w:hAnsi="宋体" w:eastAsia="宋体" w:cs="宋体"/>
          <w:sz w:val="24"/>
          <w:highlight w:val="none"/>
        </w:rPr>
        <w:t>提供最新的安全动态、技术和安全信息，包括实时安全漏洞通知、定期安全通告汇总和安全知识库更新等。通告内容包括但不限于以下内容：</w:t>
      </w:r>
    </w:p>
    <w:p w14:paraId="19510504">
      <w:pPr>
        <w:pStyle w:val="5"/>
        <w:spacing w:line="360" w:lineRule="auto"/>
        <w:ind w:firstLine="480"/>
        <w:rPr>
          <w:highlight w:val="none"/>
        </w:rPr>
      </w:pPr>
      <w:r>
        <w:rPr>
          <w:rFonts w:ascii="宋体" w:hAnsi="宋体" w:eastAsia="宋体" w:cs="宋体"/>
          <w:sz w:val="24"/>
          <w:highlight w:val="none"/>
        </w:rPr>
        <w:t>国内外最新重大漏洞、病毒安全通告；</w:t>
      </w:r>
    </w:p>
    <w:p w14:paraId="3B7D547D">
      <w:pPr>
        <w:pStyle w:val="5"/>
        <w:spacing w:line="360" w:lineRule="auto"/>
        <w:ind w:firstLine="480"/>
        <w:rPr>
          <w:highlight w:val="none"/>
        </w:rPr>
      </w:pPr>
      <w:r>
        <w:rPr>
          <w:rFonts w:ascii="宋体" w:hAnsi="宋体" w:eastAsia="宋体" w:cs="宋体"/>
          <w:sz w:val="24"/>
          <w:highlight w:val="none"/>
        </w:rPr>
        <w:t>国家安全政策及法律法规；</w:t>
      </w:r>
    </w:p>
    <w:p w14:paraId="2862DE52">
      <w:pPr>
        <w:pStyle w:val="5"/>
        <w:spacing w:line="360" w:lineRule="auto"/>
        <w:ind w:firstLine="480"/>
        <w:rPr>
          <w:highlight w:val="none"/>
        </w:rPr>
      </w:pPr>
      <w:r>
        <w:rPr>
          <w:rFonts w:ascii="宋体" w:hAnsi="宋体" w:eastAsia="宋体" w:cs="宋体"/>
          <w:sz w:val="24"/>
          <w:highlight w:val="none"/>
        </w:rPr>
        <w:t>同行业安全威胁事件通告；</w:t>
      </w:r>
    </w:p>
    <w:p w14:paraId="3CFE5351">
      <w:pPr>
        <w:pStyle w:val="5"/>
        <w:spacing w:line="360" w:lineRule="auto"/>
        <w:ind w:firstLine="480"/>
        <w:rPr>
          <w:highlight w:val="none"/>
        </w:rPr>
      </w:pPr>
      <w:r>
        <w:rPr>
          <w:rFonts w:ascii="宋体" w:hAnsi="宋体" w:eastAsia="宋体" w:cs="宋体"/>
          <w:sz w:val="24"/>
          <w:highlight w:val="none"/>
        </w:rPr>
        <w:t>国内外重大安全事件，新技术发展动态通告；</w:t>
      </w:r>
    </w:p>
    <w:p w14:paraId="322AAE50">
      <w:pPr>
        <w:pStyle w:val="5"/>
        <w:spacing w:line="360" w:lineRule="auto"/>
        <w:ind w:firstLine="480"/>
        <w:rPr>
          <w:highlight w:val="none"/>
        </w:rPr>
      </w:pPr>
      <w:r>
        <w:rPr>
          <w:rFonts w:ascii="宋体" w:hAnsi="宋体" w:eastAsia="宋体" w:cs="宋体"/>
          <w:sz w:val="24"/>
          <w:highlight w:val="none"/>
        </w:rPr>
        <w:t>重大安全漏洞爆发时需结合资产情况，提出相应修复建议。</w:t>
      </w:r>
    </w:p>
    <w:p w14:paraId="27E4C9B1">
      <w:pPr>
        <w:pStyle w:val="5"/>
        <w:spacing w:line="360" w:lineRule="auto"/>
        <w:ind w:firstLine="482"/>
        <w:jc w:val="both"/>
        <w:rPr>
          <w:highlight w:val="none"/>
        </w:rPr>
      </w:pPr>
      <w:r>
        <w:rPr>
          <w:rFonts w:ascii="宋体" w:hAnsi="宋体" w:eastAsia="宋体" w:cs="宋体"/>
          <w:b/>
          <w:sz w:val="24"/>
          <w:highlight w:val="none"/>
        </w:rPr>
        <w:t>2.4.5.2</w:t>
      </w:r>
      <w:r>
        <w:rPr>
          <w:rFonts w:ascii="宋体" w:hAnsi="宋体" w:eastAsia="宋体" w:cs="宋体"/>
          <w:sz w:val="24"/>
          <w:highlight w:val="none"/>
        </w:rPr>
        <w:t>服务价值与交付成果</w:t>
      </w:r>
    </w:p>
    <w:p w14:paraId="3CB30378">
      <w:pPr>
        <w:pStyle w:val="5"/>
        <w:spacing w:line="360" w:lineRule="auto"/>
        <w:ind w:firstLine="480"/>
        <w:rPr>
          <w:highlight w:val="none"/>
        </w:rPr>
      </w:pPr>
      <w:r>
        <w:rPr>
          <w:rFonts w:ascii="宋体" w:hAnsi="宋体" w:eastAsia="宋体" w:cs="宋体"/>
          <w:sz w:val="24"/>
          <w:highlight w:val="none"/>
        </w:rPr>
        <w:t>可以根据通告信息，轻松掌握最新的安全漏洞状态并能够安排及时修补IT资产漏洞，提高单位安全脆弱性管理能力。</w:t>
      </w:r>
    </w:p>
    <w:p w14:paraId="081B8058">
      <w:pPr>
        <w:pStyle w:val="5"/>
        <w:spacing w:line="360" w:lineRule="auto"/>
        <w:ind w:firstLine="482"/>
        <w:rPr>
          <w:highlight w:val="none"/>
        </w:rPr>
      </w:pPr>
      <w:r>
        <w:rPr>
          <w:rFonts w:ascii="宋体" w:hAnsi="宋体" w:eastAsia="宋体" w:cs="宋体"/>
          <w:b/>
          <w:sz w:val="24"/>
          <w:highlight w:val="none"/>
        </w:rPr>
        <w:t>交付成果：《安全通告》全年6期</w:t>
      </w:r>
    </w:p>
    <w:p w14:paraId="31769796">
      <w:pPr>
        <w:pStyle w:val="5"/>
        <w:spacing w:line="360" w:lineRule="auto"/>
        <w:ind w:firstLine="482"/>
        <w:jc w:val="both"/>
        <w:rPr>
          <w:highlight w:val="none"/>
        </w:rPr>
      </w:pPr>
      <w:r>
        <w:rPr>
          <w:rFonts w:ascii="宋体" w:hAnsi="宋体" w:eastAsia="宋体" w:cs="宋体"/>
          <w:b/>
          <w:sz w:val="24"/>
          <w:highlight w:val="none"/>
        </w:rPr>
        <w:t>2.5</w:t>
      </w:r>
      <w:r>
        <w:rPr>
          <w:rFonts w:ascii="宋体" w:hAnsi="宋体" w:eastAsia="宋体" w:cs="宋体"/>
          <w:sz w:val="24"/>
          <w:highlight w:val="none"/>
        </w:rPr>
        <w:t>安全培训服务</w:t>
      </w:r>
    </w:p>
    <w:p w14:paraId="259844E6">
      <w:pPr>
        <w:pStyle w:val="5"/>
        <w:spacing w:line="360" w:lineRule="auto"/>
        <w:ind w:firstLine="482"/>
        <w:jc w:val="both"/>
        <w:rPr>
          <w:highlight w:val="none"/>
        </w:rPr>
      </w:pPr>
      <w:r>
        <w:rPr>
          <w:rFonts w:ascii="宋体" w:hAnsi="宋体" w:eastAsia="宋体" w:cs="宋体"/>
          <w:b/>
          <w:sz w:val="24"/>
          <w:highlight w:val="none"/>
        </w:rPr>
        <w:t>2.5.1</w:t>
      </w:r>
      <w:r>
        <w:rPr>
          <w:rFonts w:ascii="宋体" w:hAnsi="宋体" w:eastAsia="宋体" w:cs="宋体"/>
          <w:sz w:val="24"/>
          <w:highlight w:val="none"/>
        </w:rPr>
        <w:t>安全意识培训服务</w:t>
      </w:r>
    </w:p>
    <w:p w14:paraId="78EA7288">
      <w:pPr>
        <w:pStyle w:val="5"/>
        <w:spacing w:line="360" w:lineRule="auto"/>
        <w:ind w:firstLine="480"/>
        <w:rPr>
          <w:highlight w:val="none"/>
        </w:rPr>
      </w:pPr>
      <w:r>
        <w:rPr>
          <w:rFonts w:ascii="宋体" w:hAnsi="宋体" w:eastAsia="宋体" w:cs="宋体"/>
          <w:sz w:val="24"/>
          <w:highlight w:val="none"/>
        </w:rPr>
        <w:t>每年提供1次安全意识培训服务，必要时根据本单位要求，邀请相关网络安全专家进行专业培训。培训内容可包含但不限于：信息安全意识、信息安全发展方向、安全标准、政策法规解读、单位的周期性安全服务报告解读。</w:t>
      </w:r>
    </w:p>
    <w:p w14:paraId="6F047AA3">
      <w:pPr>
        <w:pStyle w:val="5"/>
        <w:spacing w:line="360" w:lineRule="auto"/>
        <w:ind w:firstLine="482"/>
        <w:jc w:val="both"/>
        <w:rPr>
          <w:highlight w:val="none"/>
        </w:rPr>
      </w:pPr>
      <w:r>
        <w:rPr>
          <w:rFonts w:ascii="宋体" w:hAnsi="宋体" w:eastAsia="宋体" w:cs="宋体"/>
          <w:b/>
          <w:sz w:val="24"/>
          <w:highlight w:val="none"/>
        </w:rPr>
        <w:t>2.5.2</w:t>
      </w:r>
      <w:r>
        <w:rPr>
          <w:rFonts w:ascii="宋体" w:hAnsi="宋体" w:eastAsia="宋体" w:cs="宋体"/>
          <w:sz w:val="24"/>
          <w:highlight w:val="none"/>
        </w:rPr>
        <w:t>服务价值与交付成果</w:t>
      </w:r>
    </w:p>
    <w:p w14:paraId="6231D9B5">
      <w:pPr>
        <w:pStyle w:val="5"/>
        <w:spacing w:line="360" w:lineRule="auto"/>
        <w:ind w:firstLine="480"/>
        <w:rPr>
          <w:highlight w:val="none"/>
        </w:rPr>
      </w:pPr>
      <w:r>
        <w:rPr>
          <w:rFonts w:ascii="宋体" w:hAnsi="宋体" w:eastAsia="宋体" w:cs="宋体"/>
          <w:sz w:val="24"/>
          <w:highlight w:val="none"/>
        </w:rPr>
        <w:t>通过安全培训服务以满足单位客户获取安全知识和经验的需求，从而使客户最终达到强化安全意识，理解安全理论，掌握安全技术，获得安全实践经验，通过安全认证，能够融会贯通并应用于所在单位的信息化安全建设当中。</w:t>
      </w:r>
    </w:p>
    <w:p w14:paraId="1ECDAC54">
      <w:pPr>
        <w:pStyle w:val="5"/>
        <w:spacing w:line="360" w:lineRule="auto"/>
        <w:ind w:firstLine="482"/>
        <w:jc w:val="both"/>
        <w:rPr>
          <w:highlight w:val="none"/>
        </w:rPr>
      </w:pPr>
      <w:r>
        <w:rPr>
          <w:rFonts w:ascii="宋体" w:hAnsi="宋体" w:eastAsia="宋体" w:cs="宋体"/>
          <w:b/>
          <w:sz w:val="24"/>
          <w:highlight w:val="none"/>
        </w:rPr>
        <w:t>交付成果：安全培训材料</w:t>
      </w:r>
    </w:p>
    <w:p w14:paraId="43744942">
      <w:pPr>
        <w:pStyle w:val="5"/>
        <w:spacing w:line="360" w:lineRule="auto"/>
        <w:ind w:firstLine="482"/>
        <w:jc w:val="both"/>
        <w:rPr>
          <w:highlight w:val="none"/>
        </w:rPr>
      </w:pPr>
      <w:r>
        <w:rPr>
          <w:rFonts w:ascii="宋体" w:hAnsi="宋体" w:eastAsia="宋体" w:cs="宋体"/>
          <w:b/>
          <w:sz w:val="24"/>
          <w:highlight w:val="none"/>
        </w:rPr>
        <w:t>2.6</w:t>
      </w:r>
      <w:r>
        <w:rPr>
          <w:rFonts w:ascii="宋体" w:hAnsi="宋体" w:eastAsia="宋体" w:cs="宋体"/>
          <w:sz w:val="24"/>
          <w:highlight w:val="none"/>
        </w:rPr>
        <w:t>安全措施有效性验证服务</w:t>
      </w:r>
    </w:p>
    <w:p w14:paraId="4DCEC257">
      <w:pPr>
        <w:pStyle w:val="5"/>
        <w:spacing w:line="360" w:lineRule="auto"/>
        <w:ind w:firstLine="482"/>
        <w:jc w:val="both"/>
        <w:rPr>
          <w:highlight w:val="none"/>
        </w:rPr>
      </w:pPr>
      <w:r>
        <w:rPr>
          <w:rFonts w:ascii="宋体" w:hAnsi="宋体" w:eastAsia="宋体" w:cs="宋体"/>
          <w:b/>
          <w:sz w:val="24"/>
          <w:highlight w:val="none"/>
        </w:rPr>
        <w:t>2.6.1</w:t>
      </w:r>
      <w:r>
        <w:rPr>
          <w:rFonts w:ascii="宋体" w:hAnsi="宋体" w:eastAsia="宋体" w:cs="宋体"/>
          <w:sz w:val="24"/>
          <w:highlight w:val="none"/>
        </w:rPr>
        <w:t>网络边界管控有效性及策略核查服务</w:t>
      </w:r>
    </w:p>
    <w:p w14:paraId="175649FB">
      <w:pPr>
        <w:pStyle w:val="5"/>
        <w:spacing w:line="360" w:lineRule="auto"/>
        <w:ind w:firstLine="480"/>
        <w:rPr>
          <w:highlight w:val="none"/>
        </w:rPr>
      </w:pPr>
      <w:r>
        <w:rPr>
          <w:rFonts w:ascii="宋体" w:hAnsi="宋体" w:eastAsia="宋体" w:cs="宋体"/>
          <w:sz w:val="24"/>
          <w:highlight w:val="none"/>
        </w:rPr>
        <w:t>针对托管机房，定期每季度1次指派专业的安全服务工程师到客户现场，对网络边界、外联线路等安全情况进行分析，发现其可能存在的安全隐患。</w:t>
      </w:r>
    </w:p>
    <w:p w14:paraId="7895A963">
      <w:pPr>
        <w:pStyle w:val="5"/>
        <w:spacing w:line="360" w:lineRule="auto"/>
        <w:ind w:firstLine="482"/>
        <w:jc w:val="both"/>
        <w:rPr>
          <w:highlight w:val="none"/>
        </w:rPr>
      </w:pPr>
      <w:r>
        <w:rPr>
          <w:rFonts w:ascii="宋体" w:hAnsi="宋体" w:eastAsia="宋体" w:cs="宋体"/>
          <w:b/>
          <w:sz w:val="24"/>
          <w:highlight w:val="none"/>
        </w:rPr>
        <w:t>2.6.2</w:t>
      </w:r>
      <w:r>
        <w:rPr>
          <w:rFonts w:ascii="宋体" w:hAnsi="宋体" w:eastAsia="宋体" w:cs="宋体"/>
          <w:sz w:val="24"/>
          <w:highlight w:val="none"/>
        </w:rPr>
        <w:t>安全设备措施有效性及策略核查服务</w:t>
      </w:r>
    </w:p>
    <w:p w14:paraId="126ADFD4">
      <w:pPr>
        <w:pStyle w:val="5"/>
        <w:spacing w:line="360" w:lineRule="auto"/>
        <w:ind w:firstLine="480"/>
        <w:jc w:val="both"/>
        <w:rPr>
          <w:highlight w:val="none"/>
        </w:rPr>
      </w:pPr>
      <w:r>
        <w:rPr>
          <w:rFonts w:ascii="宋体" w:hAnsi="宋体" w:eastAsia="宋体" w:cs="宋体"/>
          <w:sz w:val="24"/>
          <w:highlight w:val="none"/>
        </w:rPr>
        <w:t>针对托管机房，定期每季度1次指派专业的安全服务工程师到客户现场，对单位安全设备措施有效性及策略进行核查。</w:t>
      </w:r>
    </w:p>
    <w:p w14:paraId="7EE71FF1">
      <w:pPr>
        <w:pStyle w:val="5"/>
        <w:spacing w:line="360" w:lineRule="auto"/>
        <w:ind w:firstLine="480"/>
        <w:jc w:val="both"/>
        <w:rPr>
          <w:highlight w:val="none"/>
        </w:rPr>
      </w:pPr>
      <w:r>
        <w:rPr>
          <w:rFonts w:ascii="宋体" w:hAnsi="宋体" w:eastAsia="宋体" w:cs="宋体"/>
          <w:sz w:val="24"/>
          <w:highlight w:val="none"/>
        </w:rPr>
        <w:t>针对防火墙、入侵检测、防病毒网关等安全设备提供以下服务：</w:t>
      </w:r>
    </w:p>
    <w:p w14:paraId="37ECDAAC">
      <w:pPr>
        <w:pStyle w:val="5"/>
        <w:spacing w:line="360" w:lineRule="auto"/>
        <w:ind w:firstLine="482"/>
        <w:jc w:val="both"/>
        <w:rPr>
          <w:highlight w:val="none"/>
        </w:rPr>
      </w:pPr>
      <w:r>
        <w:rPr>
          <w:rFonts w:ascii="宋体" w:hAnsi="宋体" w:eastAsia="宋体" w:cs="宋体"/>
          <w:b/>
          <w:sz w:val="24"/>
          <w:highlight w:val="none"/>
        </w:rPr>
        <w:t>1)安全策略优化：</w:t>
      </w:r>
      <w:r>
        <w:rPr>
          <w:rFonts w:ascii="宋体" w:hAnsi="宋体" w:eastAsia="宋体" w:cs="宋体"/>
          <w:sz w:val="24"/>
          <w:highlight w:val="none"/>
        </w:rPr>
        <w:t>根据业务变化情况，检查访问控制策略，调整和优化安全规则达到一致性。</w:t>
      </w:r>
    </w:p>
    <w:p w14:paraId="13E897A0">
      <w:pPr>
        <w:pStyle w:val="5"/>
        <w:spacing w:line="360" w:lineRule="auto"/>
        <w:ind w:firstLine="482"/>
        <w:jc w:val="both"/>
        <w:rPr>
          <w:highlight w:val="none"/>
        </w:rPr>
      </w:pPr>
      <w:r>
        <w:rPr>
          <w:rFonts w:ascii="宋体" w:hAnsi="宋体" w:eastAsia="宋体" w:cs="宋体"/>
          <w:b/>
          <w:sz w:val="24"/>
          <w:highlight w:val="none"/>
        </w:rPr>
        <w:t>2)运行状态巡检</w:t>
      </w:r>
      <w:r>
        <w:rPr>
          <w:rFonts w:ascii="宋体" w:hAnsi="宋体" w:eastAsia="宋体" w:cs="宋体"/>
          <w:sz w:val="24"/>
          <w:highlight w:val="none"/>
        </w:rPr>
        <w:t>：检查设备运行状态，性能处理能力是否存在瓶颈或运行异常。</w:t>
      </w:r>
    </w:p>
    <w:p w14:paraId="0BFB5F39">
      <w:pPr>
        <w:pStyle w:val="5"/>
        <w:spacing w:line="360" w:lineRule="auto"/>
        <w:ind w:firstLine="482"/>
        <w:jc w:val="both"/>
        <w:rPr>
          <w:highlight w:val="none"/>
        </w:rPr>
      </w:pPr>
      <w:r>
        <w:rPr>
          <w:rFonts w:ascii="宋体" w:hAnsi="宋体" w:eastAsia="宋体" w:cs="宋体"/>
          <w:b/>
          <w:sz w:val="24"/>
          <w:highlight w:val="none"/>
        </w:rPr>
        <w:t>3)自身安全性检查：</w:t>
      </w:r>
      <w:r>
        <w:rPr>
          <w:rFonts w:ascii="宋体" w:hAnsi="宋体" w:eastAsia="宋体" w:cs="宋体"/>
          <w:sz w:val="24"/>
          <w:highlight w:val="none"/>
        </w:rPr>
        <w:t>从设备账号管理、远程管理、权限管理等方面开展设备自身安全性检查。</w:t>
      </w:r>
    </w:p>
    <w:p w14:paraId="359D785D">
      <w:pPr>
        <w:pStyle w:val="5"/>
        <w:spacing w:line="360" w:lineRule="auto"/>
        <w:ind w:firstLine="482"/>
        <w:jc w:val="both"/>
        <w:rPr>
          <w:highlight w:val="none"/>
        </w:rPr>
      </w:pPr>
      <w:r>
        <w:rPr>
          <w:rFonts w:ascii="宋体" w:hAnsi="宋体" w:eastAsia="宋体" w:cs="宋体"/>
          <w:b/>
          <w:sz w:val="24"/>
          <w:highlight w:val="none"/>
        </w:rPr>
        <w:t>4)日志巡检：</w:t>
      </w:r>
      <w:r>
        <w:rPr>
          <w:rFonts w:ascii="宋体" w:hAnsi="宋体" w:eastAsia="宋体" w:cs="宋体"/>
          <w:sz w:val="24"/>
          <w:highlight w:val="none"/>
        </w:rPr>
        <w:t>定期检查相关安全设备日志进行分析，查看是否存在安全隐患。</w:t>
      </w:r>
    </w:p>
    <w:p w14:paraId="53EF0D37">
      <w:pPr>
        <w:pStyle w:val="5"/>
        <w:spacing w:line="360" w:lineRule="auto"/>
        <w:ind w:firstLine="482"/>
        <w:jc w:val="both"/>
        <w:rPr>
          <w:highlight w:val="none"/>
        </w:rPr>
      </w:pPr>
      <w:r>
        <w:rPr>
          <w:rFonts w:ascii="宋体" w:hAnsi="宋体" w:eastAsia="宋体" w:cs="宋体"/>
          <w:b/>
          <w:sz w:val="24"/>
          <w:highlight w:val="none"/>
        </w:rPr>
        <w:t>2.6.3</w:t>
      </w:r>
      <w:r>
        <w:rPr>
          <w:rFonts w:ascii="宋体" w:hAnsi="宋体" w:eastAsia="宋体" w:cs="宋体"/>
          <w:sz w:val="24"/>
          <w:highlight w:val="none"/>
        </w:rPr>
        <w:t>安全软件措施有效性及策略核查服务</w:t>
      </w:r>
    </w:p>
    <w:p w14:paraId="6F7146FA">
      <w:pPr>
        <w:pStyle w:val="5"/>
        <w:spacing w:line="360" w:lineRule="auto"/>
        <w:ind w:firstLine="480"/>
        <w:jc w:val="both"/>
        <w:rPr>
          <w:highlight w:val="none"/>
        </w:rPr>
      </w:pPr>
      <w:r>
        <w:rPr>
          <w:rFonts w:ascii="宋体" w:hAnsi="宋体" w:eastAsia="宋体" w:cs="宋体"/>
          <w:sz w:val="24"/>
          <w:highlight w:val="none"/>
        </w:rPr>
        <w:t>针对服务范围内的业务系统，定期每季度1次指派专业的安全服务工程师到客户现场，对相关安全软件措施有效性及策略进行核查。</w:t>
      </w:r>
    </w:p>
    <w:p w14:paraId="4B5503E9">
      <w:pPr>
        <w:pStyle w:val="5"/>
        <w:spacing w:line="360" w:lineRule="auto"/>
        <w:ind w:firstLine="480"/>
        <w:jc w:val="both"/>
        <w:rPr>
          <w:highlight w:val="none"/>
        </w:rPr>
      </w:pPr>
      <w:r>
        <w:rPr>
          <w:rFonts w:ascii="宋体" w:hAnsi="宋体" w:eastAsia="宋体" w:cs="宋体"/>
          <w:sz w:val="24"/>
          <w:highlight w:val="none"/>
        </w:rPr>
        <w:t>针对网页防篡改、终端防病毒、终端安全管理等现有安全软件提供以下服务：</w:t>
      </w:r>
    </w:p>
    <w:p w14:paraId="20B6EB97">
      <w:pPr>
        <w:pStyle w:val="5"/>
        <w:spacing w:line="360" w:lineRule="auto"/>
        <w:ind w:firstLine="482"/>
        <w:jc w:val="both"/>
        <w:rPr>
          <w:highlight w:val="none"/>
        </w:rPr>
      </w:pPr>
      <w:r>
        <w:rPr>
          <w:rFonts w:ascii="宋体" w:hAnsi="宋体" w:eastAsia="宋体" w:cs="宋体"/>
          <w:b/>
          <w:sz w:val="24"/>
          <w:highlight w:val="none"/>
        </w:rPr>
        <w:t>1)安全策略优化：</w:t>
      </w:r>
      <w:r>
        <w:rPr>
          <w:rFonts w:ascii="宋体" w:hAnsi="宋体" w:eastAsia="宋体" w:cs="宋体"/>
          <w:sz w:val="24"/>
          <w:highlight w:val="none"/>
        </w:rPr>
        <w:t>根据业务变化情况，检查访问控制策略，调整和优化安全规则达到一致性。</w:t>
      </w:r>
    </w:p>
    <w:p w14:paraId="09F04819">
      <w:pPr>
        <w:pStyle w:val="5"/>
        <w:spacing w:line="360" w:lineRule="auto"/>
        <w:ind w:firstLine="482"/>
        <w:jc w:val="both"/>
        <w:rPr>
          <w:highlight w:val="none"/>
        </w:rPr>
      </w:pPr>
      <w:r>
        <w:rPr>
          <w:rFonts w:ascii="宋体" w:hAnsi="宋体" w:eastAsia="宋体" w:cs="宋体"/>
          <w:b/>
          <w:sz w:val="24"/>
          <w:highlight w:val="none"/>
        </w:rPr>
        <w:t>2)运行状态巡检：</w:t>
      </w:r>
      <w:r>
        <w:rPr>
          <w:rFonts w:ascii="宋体" w:hAnsi="宋体" w:eastAsia="宋体" w:cs="宋体"/>
          <w:sz w:val="24"/>
          <w:highlight w:val="none"/>
        </w:rPr>
        <w:t>检查软件运行状态，性能处理能力是否存在瓶颈或运行异常。</w:t>
      </w:r>
    </w:p>
    <w:p w14:paraId="2C07D806">
      <w:pPr>
        <w:pStyle w:val="5"/>
        <w:spacing w:line="360" w:lineRule="auto"/>
        <w:ind w:firstLine="482"/>
        <w:jc w:val="both"/>
        <w:rPr>
          <w:highlight w:val="none"/>
        </w:rPr>
      </w:pPr>
      <w:r>
        <w:rPr>
          <w:rFonts w:ascii="宋体" w:hAnsi="宋体" w:eastAsia="宋体" w:cs="宋体"/>
          <w:b/>
          <w:sz w:val="24"/>
          <w:highlight w:val="none"/>
        </w:rPr>
        <w:t>3)自身安全性检查：</w:t>
      </w:r>
      <w:r>
        <w:rPr>
          <w:rFonts w:ascii="宋体" w:hAnsi="宋体" w:eastAsia="宋体" w:cs="宋体"/>
          <w:sz w:val="24"/>
          <w:highlight w:val="none"/>
        </w:rPr>
        <w:t>从软件账号管理、远程管理、权限管理等方面开展设备自身安全性检查。</w:t>
      </w:r>
    </w:p>
    <w:p w14:paraId="39C1B527">
      <w:pPr>
        <w:pStyle w:val="5"/>
        <w:spacing w:line="360" w:lineRule="auto"/>
        <w:ind w:firstLine="482"/>
        <w:jc w:val="both"/>
        <w:rPr>
          <w:highlight w:val="none"/>
        </w:rPr>
      </w:pPr>
      <w:r>
        <w:rPr>
          <w:rFonts w:ascii="宋体" w:hAnsi="宋体" w:eastAsia="宋体" w:cs="宋体"/>
          <w:b/>
          <w:sz w:val="24"/>
          <w:highlight w:val="none"/>
        </w:rPr>
        <w:t>4)日志巡检：</w:t>
      </w:r>
      <w:r>
        <w:rPr>
          <w:rFonts w:ascii="宋体" w:hAnsi="宋体" w:eastAsia="宋体" w:cs="宋体"/>
          <w:sz w:val="24"/>
          <w:highlight w:val="none"/>
        </w:rPr>
        <w:t>定期检查相关安全软件日志进行分析，查看是否存在安全隐患。</w:t>
      </w:r>
    </w:p>
    <w:p w14:paraId="39EE7024">
      <w:pPr>
        <w:pStyle w:val="5"/>
        <w:spacing w:line="360" w:lineRule="auto"/>
        <w:ind w:firstLine="482"/>
        <w:jc w:val="both"/>
        <w:rPr>
          <w:highlight w:val="none"/>
        </w:rPr>
      </w:pPr>
      <w:r>
        <w:rPr>
          <w:rFonts w:ascii="宋体" w:hAnsi="宋体" w:eastAsia="宋体" w:cs="宋体"/>
          <w:b/>
          <w:sz w:val="24"/>
          <w:highlight w:val="none"/>
        </w:rPr>
        <w:t>2.6.4</w:t>
      </w:r>
      <w:r>
        <w:rPr>
          <w:rFonts w:ascii="宋体" w:hAnsi="宋体" w:eastAsia="宋体" w:cs="宋体"/>
          <w:sz w:val="24"/>
          <w:highlight w:val="none"/>
        </w:rPr>
        <w:t>服务价值与交付成果</w:t>
      </w:r>
    </w:p>
    <w:p w14:paraId="12BE3A3E">
      <w:pPr>
        <w:pStyle w:val="5"/>
        <w:spacing w:line="360" w:lineRule="auto"/>
        <w:ind w:firstLine="480"/>
        <w:rPr>
          <w:highlight w:val="none"/>
        </w:rPr>
      </w:pPr>
      <w:r>
        <w:rPr>
          <w:rFonts w:ascii="宋体" w:hAnsi="宋体" w:eastAsia="宋体" w:cs="宋体"/>
          <w:sz w:val="24"/>
          <w:highlight w:val="none"/>
        </w:rPr>
        <w:t>根据业务环境变化情况，定期评估安全设备、安全软件的防护有效性，对已采取的安全措施的有效性进行确认，对有效的安全措施继续保持，以避免不必要的工作和费用，防止安全措施的重复实施。对于不适当的安全措施进行优化配置，并定期分析设备告警情况，及时发现安全隐患。</w:t>
      </w:r>
    </w:p>
    <w:p w14:paraId="62205050">
      <w:pPr>
        <w:pStyle w:val="5"/>
        <w:spacing w:line="360" w:lineRule="auto"/>
        <w:ind w:firstLine="482"/>
        <w:rPr>
          <w:highlight w:val="none"/>
        </w:rPr>
      </w:pPr>
      <w:r>
        <w:rPr>
          <w:rFonts w:ascii="宋体" w:hAnsi="宋体" w:eastAsia="宋体" w:cs="宋体"/>
          <w:b/>
          <w:sz w:val="24"/>
          <w:highlight w:val="none"/>
        </w:rPr>
        <w:t>交付成果：《安全措施有效性验证报告》</w:t>
      </w:r>
    </w:p>
    <w:p w14:paraId="7E7A1BC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360" w:lineRule="auto"/>
        <w:ind w:left="376" w:right="376" w:firstLine="420"/>
        <w:jc w:val="both"/>
        <w:rPr>
          <w:rFonts w:hint="eastAsia" w:ascii="宋体" w:hAnsi="宋体" w:eastAsia="宋体" w:cs="宋体"/>
          <w:sz w:val="24"/>
          <w:szCs w:val="24"/>
          <w:highlight w:val="none"/>
          <w:shd w:val="clear" w:fill="FFFF00"/>
          <w:lang w:eastAsia="zh-CN"/>
        </w:rPr>
      </w:pPr>
    </w:p>
    <w:p w14:paraId="30BCFF23">
      <w:pPr>
        <w:keepNext w:val="0"/>
        <w:keepLines w:val="0"/>
        <w:pageBreakBefore w:val="0"/>
        <w:kinsoku/>
        <w:overflowPunct/>
        <w:topLinePunct w:val="0"/>
        <w:autoSpaceDE/>
        <w:autoSpaceDN/>
        <w:bidi w:val="0"/>
        <w:adjustRightInd w:val="0"/>
        <w:snapToGrid w:val="0"/>
        <w:spacing w:line="360" w:lineRule="auto"/>
        <w:rPr>
          <w:highlight w:val="none"/>
        </w:rPr>
      </w:pPr>
    </w:p>
    <w:p w14:paraId="41F56914">
      <w:pPr>
        <w:rPr>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440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2024-11-22T07:47:47Z</dcterms:created>
  <dc:creator>SunMIng</dc:creator>
  <cp:lastModifiedBy>123</cp:lastModifiedBy>
  <dcterms:modified xsi:type="dcterms:W3CDTF">2024-11-22T07:48:06Z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D78327D68DE844848BE7F2CBFC9868DA_12</vt:lpwstr>
  </property>
</Properties>
</file>