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2024年福建省林业网上行政审批系统运行维护项目</w:t>
      </w:r>
    </w:p>
    <w:p>
      <w:pPr>
        <w:pStyle w:val="null3"/>
        <w:jc w:val="center"/>
        <w:outlineLvl w:val="2"/>
      </w:pPr>
      <w:r>
        <w:rPr>
          <w:b/>
          <w:sz w:val="28"/>
        </w:rPr>
        <w:t>备案编号：</w:t>
      </w:r>
      <w:r>
        <w:rPr>
          <w:b/>
          <w:sz w:val="28"/>
        </w:rPr>
        <w:t>CGXM-2023-350001-15876[2023]15957</w:t>
      </w:r>
    </w:p>
    <w:p>
      <w:pPr>
        <w:pStyle w:val="null3"/>
        <w:jc w:val="center"/>
        <w:outlineLvl w:val="2"/>
      </w:pPr>
      <w:r>
        <w:rPr>
          <w:b/>
          <w:sz w:val="28"/>
        </w:rPr>
        <w:t>项目编号：</w:t>
      </w:r>
      <w:r>
        <w:rPr>
          <w:b/>
          <w:sz w:val="28"/>
        </w:rPr>
        <w:t>[350001]FJHYJT[CS]2023002</w:t>
      </w:r>
    </w:p>
    <w:p>
      <w:pPr>
        <w:pStyle w:val="null3"/>
        <w:jc w:val="center"/>
        <w:outlineLvl w:val="2"/>
      </w:pPr>
      <w:r>
        <w:rPr>
          <w:b/>
          <w:sz w:val="28"/>
        </w:rPr>
        <w:t>采购人：</w:t>
      </w:r>
      <w:r>
        <w:rPr>
          <w:b/>
          <w:sz w:val="28"/>
        </w:rPr>
        <w:t>福建省林业局</w:t>
      </w:r>
    </w:p>
    <w:p>
      <w:pPr>
        <w:pStyle w:val="null3"/>
        <w:jc w:val="center"/>
        <w:outlineLvl w:val="2"/>
      </w:pPr>
      <w:r>
        <w:rPr>
          <w:b/>
          <w:sz w:val="28"/>
        </w:rPr>
        <w:t>代理机构：</w:t>
      </w:r>
      <w:r>
        <w:rPr>
          <w:b/>
          <w:sz w:val="28"/>
        </w:rPr>
        <w:t>福建宏业交通服务有限公司</w:t>
      </w:r>
    </w:p>
    <w:p>
      <w:pPr>
        <w:pStyle w:val="null3"/>
        <w:jc w:val="center"/>
        <w:outlineLvl w:val="2"/>
      </w:pPr>
      <w:r>
        <w:rPr>
          <w:b/>
          <w:sz w:val="28"/>
        </w:rPr>
        <w:t>编制时间</w:t>
      </w:r>
      <w:r>
        <w:rPr>
          <w:b/>
          <w:sz w:val="28"/>
        </w:rPr>
        <w:t>：</w:t>
      </w:r>
      <w:r>
        <w:rPr>
          <w:b/>
          <w:sz w:val="28"/>
        </w:rPr>
        <w:t>2023年12月</w:t>
      </w:r>
    </w:p>
    <w:p>
      <w:pPr>
        <w:pStyle w:val="null3"/>
      </w:pPr>
      <w:r>
        <w:rPr/>
        <w:t xml:space="preserve"> </w:t>
        <w:br/>
        <w:br w:type="page"/>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福建省林业局</w:t>
      </w:r>
      <w:r>
        <w:rPr/>
        <w:t xml:space="preserve"> 已根据政府采购相关法律法规，经相应程序确定采用 竞争性磋商 方式组织 </w:t>
      </w:r>
      <w:r>
        <w:rPr/>
        <w:t>2024年福建省林业网上行政审批系统运行维护项目</w:t>
      </w:r>
      <w:r>
        <w:rPr/>
        <w:t xml:space="preserve"> 项目（以下简称：“本项目”）的政府采购活动， </w:t>
      </w:r>
      <w:r>
        <w:rPr/>
        <w:t>现欢迎国内合格的供应商前来参加。</w:t>
      </w:r>
      <w:r>
        <w:rPr/>
        <w:t xml:space="preserve"> 本项目由采购人委托 </w:t>
      </w:r>
      <w:r>
        <w:rPr/>
        <w:t>福建宏业交通服务有限公司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2024年福建省林业网上行政审批系统运行维护项目</w:t>
      </w:r>
    </w:p>
    <w:p>
      <w:pPr>
        <w:pStyle w:val="null3"/>
        <w:ind w:firstLine="480"/>
        <w:jc w:val="left"/>
        <w:outlineLvl w:val="2"/>
      </w:pPr>
      <w:r>
        <w:rPr>
          <w:b/>
          <w:sz w:val="28"/>
        </w:rPr>
        <w:t>2.备案编号</w:t>
      </w:r>
      <w:r>
        <w:rPr>
          <w:b/>
          <w:sz w:val="28"/>
        </w:rPr>
        <w:t xml:space="preserve">： </w:t>
      </w:r>
      <w:r>
        <w:rPr>
          <w:b/>
          <w:sz w:val="28"/>
        </w:rPr>
        <w:t>CGXM-2023-350001-15876[2023]15957</w:t>
      </w:r>
    </w:p>
    <w:p>
      <w:pPr>
        <w:pStyle w:val="null3"/>
        <w:ind w:firstLine="480"/>
        <w:jc w:val="left"/>
        <w:outlineLvl w:val="2"/>
      </w:pPr>
      <w:r>
        <w:rPr>
          <w:b/>
          <w:sz w:val="28"/>
        </w:rPr>
        <w:t>3.项目编号</w:t>
      </w:r>
      <w:r>
        <w:rPr>
          <w:b/>
          <w:sz w:val="28"/>
        </w:rPr>
        <w:t xml:space="preserve">： </w:t>
      </w:r>
      <w:r>
        <w:rPr>
          <w:b/>
          <w:sz w:val="28"/>
        </w:rPr>
        <w:t>[350001]FJHYJT[CS]2023002</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480,000.00</w:t>
      </w:r>
    </w:p>
    <w:p>
      <w:pPr>
        <w:pStyle w:val="null3"/>
        <w:jc w:val="left"/>
      </w:pPr>
      <w:r>
        <w:rPr/>
        <w:t>采购包最高限价（元）: 480,000.00</w:t>
      </w:r>
    </w:p>
    <w:p>
      <w:pPr>
        <w:pStyle w:val="null3"/>
        <w:jc w:val="left"/>
      </w:pPr>
      <w:r>
        <w:rPr/>
        <w:t>采购包保证金金额（元）: 4,800.00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福建省林业网上行政审批系统功能完善</w:t>
            </w:r>
          </w:p>
        </w:tc>
        <w:tc>
          <w:tcPr>
            <w:tcW w:type="dxa" w:w="1187"/>
          </w:tcPr>
          <w:p>
            <w:pPr>
              <w:pStyle w:val="null3"/>
              <w:jc w:val="right"/>
            </w:pPr>
            <w:r>
              <w:rPr/>
              <w:t>1.00</w:t>
            </w:r>
          </w:p>
        </w:tc>
        <w:tc>
          <w:tcPr>
            <w:tcW w:type="dxa" w:w="1187"/>
          </w:tcPr>
          <w:p>
            <w:pPr>
              <w:pStyle w:val="null3"/>
              <w:jc w:val="right"/>
            </w:pPr>
            <w:r>
              <w:rPr/>
              <w:t>480,000.00</w:t>
            </w:r>
          </w:p>
        </w:tc>
        <w:tc>
          <w:tcPr>
            <w:tcW w:type="dxa" w:w="1187"/>
          </w:tcPr>
          <w:p>
            <w:pPr>
              <w:pStyle w:val="null3"/>
              <w:jc w:val="left"/>
            </w:pPr>
            <w:r>
              <w:rPr/>
              <w:t>个</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jc w:val="left"/>
      </w:pPr>
      <w:r>
        <w:rPr/>
        <w:t>采购包2：</w:t>
      </w:r>
    </w:p>
    <w:p>
      <w:pPr>
        <w:pStyle w:val="null3"/>
        <w:jc w:val="left"/>
      </w:pPr>
      <w:r>
        <w:rPr/>
        <w:t>采购包预算金额（元）: 366,000.00</w:t>
      </w:r>
    </w:p>
    <w:p>
      <w:pPr>
        <w:pStyle w:val="null3"/>
        <w:jc w:val="left"/>
      </w:pPr>
      <w:r>
        <w:rPr/>
        <w:t>采购包最高限价（元）: 366,000.00</w:t>
      </w:r>
    </w:p>
    <w:p>
      <w:pPr>
        <w:pStyle w:val="null3"/>
        <w:jc w:val="left"/>
      </w:pPr>
      <w:r>
        <w:rPr/>
        <w:t>采购包保证金金额（元）: 3,660.00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2024年1-11月福建省林业网上行政审批系统运行维护项目</w:t>
            </w:r>
          </w:p>
        </w:tc>
        <w:tc>
          <w:tcPr>
            <w:tcW w:type="dxa" w:w="1187"/>
          </w:tcPr>
          <w:p>
            <w:pPr>
              <w:pStyle w:val="null3"/>
              <w:jc w:val="right"/>
            </w:pPr>
            <w:r>
              <w:rPr/>
              <w:t>1.00</w:t>
            </w:r>
          </w:p>
        </w:tc>
        <w:tc>
          <w:tcPr>
            <w:tcW w:type="dxa" w:w="1187"/>
          </w:tcPr>
          <w:p>
            <w:pPr>
              <w:pStyle w:val="null3"/>
              <w:jc w:val="right"/>
            </w:pPr>
            <w:r>
              <w:rPr/>
              <w:t>366,000.00</w:t>
            </w:r>
          </w:p>
        </w:tc>
        <w:tc>
          <w:tcPr>
            <w:tcW w:type="dxa" w:w="1187"/>
          </w:tcPr>
          <w:p>
            <w:pPr>
              <w:pStyle w:val="null3"/>
              <w:jc w:val="left"/>
            </w:pPr>
            <w:r>
              <w:rPr/>
              <w:t>个</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不适用本项目所有采购包。</w:t>
      </w:r>
    </w:p>
    <w:p>
      <w:pPr>
        <w:pStyle w:val="null3"/>
        <w:ind w:firstLine="960"/>
        <w:jc w:val="left"/>
      </w:pPr>
      <w:r>
        <w:rPr/>
        <w:t>节能产品：</w:t>
      </w:r>
      <w:r>
        <w:rPr/>
        <w:t>不适用本项目所有采购包。</w:t>
      </w:r>
    </w:p>
    <w:p>
      <w:pPr>
        <w:pStyle w:val="null3"/>
        <w:ind w:firstLine="960"/>
        <w:jc w:val="left"/>
      </w:pPr>
      <w:r>
        <w:rPr/>
        <w:t>环境标志产品：</w:t>
      </w:r>
      <w:r>
        <w:rPr/>
        <w:t>不适用本项目所有采购包。</w:t>
      </w:r>
    </w:p>
    <w:p>
      <w:pPr>
        <w:pStyle w:val="null3"/>
        <w:ind w:firstLine="960"/>
        <w:jc w:val="left"/>
      </w:pPr>
      <w:r>
        <w:rPr/>
        <w:t>促进中小企业发展的相关政策：</w:t>
      </w:r>
    </w:p>
    <w:p>
      <w:pPr>
        <w:pStyle w:val="null3"/>
        <w:ind w:firstLine="960"/>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jc w:val="left"/>
      </w:pPr>
      <w:r>
        <w:rPr/>
        <w:t>采购包2：【预留】专门面向中小企业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关于“成立年限满1年及以上的投标人，提供经审计的上一年度的年度财务报告”补充说明</w:t>
            </w:r>
          </w:p>
        </w:tc>
        <w:tc>
          <w:tcPr>
            <w:tcW w:type="dxa" w:w="4614"/>
          </w:tcPr>
          <w:p>
            <w:pPr>
              <w:pStyle w:val="null3"/>
              <w:jc w:val="left"/>
            </w:pPr>
            <w:r>
              <w:rPr/>
              <w:t>供应商可提供经审计的2022年度财务报告复印件或2023年度财务报告复印件</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关于“成立年限满1年及以上的投标人，提供经审计的上一年度的年度财务报告”补充说明</w:t>
            </w:r>
          </w:p>
        </w:tc>
        <w:tc>
          <w:tcPr>
            <w:tcW w:type="dxa" w:w="4614"/>
          </w:tcPr>
          <w:p>
            <w:pPr>
              <w:pStyle w:val="null3"/>
              <w:jc w:val="left"/>
            </w:pPr>
            <w:r>
              <w:rPr/>
              <w:t>供应商可提供经审计的2022年度财务报告复印件或2023年度财务报告复印件</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本采购包为专门面向中小企业采购，供应商须提供中小企业声明函。监狱企业、残疾人福利性单位视同小型、微型企业。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r>
        <w:rPr/>
        <w:t>采购包1：不接受</w:t>
      </w:r>
    </w:p>
    <w:p>
      <w:pPr>
        <w:pStyle w:val="null3"/>
        <w:jc w:val="left"/>
      </w:pPr>
      <w:r>
        <w:rPr/>
        <w:t>采购包2：不接受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福建省林业局</w:t>
      </w:r>
    </w:p>
    <w:p>
      <w:pPr>
        <w:pStyle w:val="null3"/>
        <w:ind w:firstLine="960"/>
        <w:jc w:val="left"/>
      </w:pPr>
      <w:r>
        <w:rPr/>
        <w:t xml:space="preserve"> 地址： </w:t>
      </w:r>
      <w:r>
        <w:rPr/>
        <w:t>福州市冶山路10号</w:t>
      </w:r>
    </w:p>
    <w:p>
      <w:pPr>
        <w:pStyle w:val="null3"/>
        <w:jc w:val="left"/>
      </w:pPr>
      <w:r>
        <w:rPr/>
        <w:t xml:space="preserve"> 邮编： </w:t>
      </w:r>
      <w:r>
        <w:rPr/>
        <w:t>350003</w:t>
      </w:r>
    </w:p>
    <w:p>
      <w:pPr>
        <w:pStyle w:val="null3"/>
        <w:jc w:val="left"/>
      </w:pPr>
      <w:r>
        <w:rPr/>
        <w:t xml:space="preserve"> 联系人： </w:t>
      </w:r>
      <w:r>
        <w:rPr/>
        <w:t>李海滨</w:t>
      </w:r>
    </w:p>
    <w:p>
      <w:pPr>
        <w:pStyle w:val="null3"/>
        <w:jc w:val="left"/>
      </w:pPr>
      <w:r>
        <w:rPr/>
        <w:t xml:space="preserve"> 联系电话： </w:t>
      </w:r>
      <w:r>
        <w:rPr/>
        <w:t>0591-86295097</w:t>
      </w:r>
    </w:p>
    <w:p>
      <w:pPr>
        <w:pStyle w:val="null3"/>
        <w:ind w:firstLine="480"/>
        <w:jc w:val="left"/>
        <w:outlineLvl w:val="2"/>
      </w:pPr>
      <w:r>
        <w:rPr>
          <w:b/>
          <w:sz w:val="28"/>
        </w:rPr>
        <w:t>14、代理机构</w:t>
      </w:r>
      <w:r>
        <w:rPr>
          <w:b/>
          <w:sz w:val="28"/>
        </w:rPr>
        <w:t>：</w:t>
      </w:r>
      <w:r>
        <w:rPr>
          <w:b/>
          <w:sz w:val="28"/>
        </w:rPr>
        <w:t>福建宏业交通服务有限公司</w:t>
      </w:r>
    </w:p>
    <w:p>
      <w:pPr>
        <w:pStyle w:val="null3"/>
        <w:ind w:firstLine="960"/>
        <w:jc w:val="left"/>
      </w:pPr>
      <w:r>
        <w:rPr/>
        <w:t xml:space="preserve"> 地址： </w:t>
      </w:r>
      <w:r>
        <w:rPr/>
        <w:t>福建省福州市晋安区岳峰镇金鸡山路27号</w:t>
      </w:r>
    </w:p>
    <w:p>
      <w:pPr>
        <w:pStyle w:val="null3"/>
        <w:jc w:val="left"/>
      </w:pPr>
      <w:r>
        <w:rPr/>
        <w:t xml:space="preserve"> 邮编： </w:t>
      </w:r>
      <w:r>
        <w:rPr/>
        <w:t>350013</w:t>
      </w:r>
    </w:p>
    <w:p>
      <w:pPr>
        <w:pStyle w:val="null3"/>
        <w:jc w:val="left"/>
      </w:pPr>
      <w:r>
        <w:rPr/>
        <w:t xml:space="preserve"> 联系人： </w:t>
      </w:r>
      <w:r>
        <w:rPr/>
        <w:t>林鹰、戴加袁</w:t>
      </w:r>
    </w:p>
    <w:p>
      <w:pPr>
        <w:pStyle w:val="null3"/>
        <w:jc w:val="left"/>
      </w:pPr>
      <w:r>
        <w:rPr/>
        <w:t xml:space="preserve"> 联系电话： </w:t>
      </w:r>
      <w:r>
        <w:rPr/>
        <w:t>13950482943、0591-87078518</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福建宏业交通服务有限公司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采购包2：</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关于“成立年限满1年及以上的投标人，提供经审计的上一年度的年度财务报告”补充说明</w:t>
                  </w:r>
                </w:p>
              </w:tc>
              <w:tc>
                <w:tcPr>
                  <w:tcW w:type="dxa" w:w="1418"/>
                </w:tcPr>
                <w:p>
                  <w:pPr>
                    <w:pStyle w:val="null3"/>
                    <w:jc w:val="left"/>
                  </w:pPr>
                  <w:r>
                    <w:rPr/>
                    <w:t>供应商可提供经审计的2022年度财务报告复印件或2023年度财务报告复印件</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采购包2：</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关于“成立年限满1年及以上的投标人，提供经审计的上一年度的年度财务报告”补充说明</w:t>
                  </w:r>
                </w:p>
              </w:tc>
              <w:tc>
                <w:tcPr>
                  <w:tcW w:type="dxa" w:w="1418"/>
                </w:tcPr>
                <w:p>
                  <w:pPr>
                    <w:pStyle w:val="null3"/>
                    <w:jc w:val="left"/>
                  </w:pPr>
                  <w:r>
                    <w:rPr/>
                    <w:t>供应商可提供经审计的2022年度财务报告复印件或2023年度财务报告复印件</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p>
            <w:pPr>
              <w:pStyle w:val="null3"/>
              <w:jc w:val="left"/>
            </w:pPr>
            <w:r>
              <w:rPr/>
              <w:t>采购包2：不接受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p>
            <w:pPr>
              <w:pStyle w:val="null3"/>
              <w:jc w:val="left"/>
            </w:pPr>
            <w:r>
              <w:rPr/>
              <w:t>采购包2：不组织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在磋商过程中,磋商小组可以根据磋商文件和磋商情况实质性变动采购需求中的技术、服务要求以及合同草案条款,但不得变动磋商文件中的其他内容。实质性变动的内容经采购人代表确认后,由磋商小组书面通知所有供应商。对磋商文件作出的实质性变动是磋商文件的有效组成部分。</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1）磋商小组将按照规定对各供应商的响应文件采用相同的程序和标准进行评价和比较，并按照提交首次响应文件时间的先后顺序(或者逆顺序)邀请通过资格及符合性审查的合格供应商至磋商现场进行磋商。（2）未按照磋商文件的变动情况和磋商小组的要求重新提交补充响应文件的供应商，磋商小组将否决其响应文件，按无效处理。（3）已提交响应文件的供应商，在提交最后报价之前，可以根据磋商情况退出磋商，须由其法定代表人或授权代表签字或者加盖公章。由授权代表签字的,应当附法定代表人授权书。供应商为自然人的,应当由本人签字并附身份证明。采购代理机构将在结果公告发布后5个工作日内统一退还磋商保证金。（4）磋商小组确定成交候选人时以最后报价为准，如磋商小组没有对磋商文件作实质性变动增加新的需求，后一轮报价不得高于前一轮报价，最后报价若高于前一轮报价按无效响应处理。（5）在规定时间内未进行最后报价的供应商视为退出磋商，采购代理机构将在结果公告发布后5个工作日内统一退还磋商保证金。（6）各供应商代表需携带身份证原件，随时接受磋商小组询问，并予以解答。</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福建省财政厅政府采购监督管理办公室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根据《国家发展改革委办公厅关于招标代理服务收费有关问知》及本项目政府采购委托协议中“有关费用问题”的约定，本项目的招标代理服务费(中标服务费)向中标人收取。(1)以中标通知书规定的中标金额作为收费的计算基数。(2)招标代理服务收费的标准：100(万元)以下收费费率标准：1.50%；100(万元)-500（万元）部分收费费率标准：0.8%。 (3)中标人应在领取中标通知书的同时，可以现金、转帐或电汇方式一次性向招标代理机构缴纳招标代理服务费。(4)招标代理服务费汇入账户： 账户名称：福建宏业交通服务有限公司 开户行：招商银行东水支行 账号：674580075710001，开票邮箱：527344856@qq.com。</w:t>
            </w:r>
          </w:p>
          <w:p>
            <w:pPr>
              <w:pStyle w:val="null3"/>
              <w:jc w:val="left"/>
            </w:pPr>
            <w:r>
              <w:rPr/>
              <w:t xml:space="preserve"> (2)其他：</w:t>
            </w:r>
          </w:p>
          <w:p>
            <w:pPr>
              <w:pStyle w:val="null3"/>
              <w:jc w:val="left"/>
            </w:pPr>
            <w:r>
              <w:rPr/>
              <w:t>本项目最高限价详见采购公告，投标人超过最高限价的报价为无效报价。根据《中华人民共和国价格法》第六条、第十八条规定，投标人依法有权自主制定属于市场调节的价格，有权根据企业的生产经营成本等自身情况和市场供求状况等外部因素自主定价。 26.1实质性要求和条件：26.1.1信用记录查询及使用：(1)信用记录查询渠道及截止时点：采购代理机构将在投标截止时间截止后，评标工作结束前，通过“信用中国”网站(www.creditchina.gov.cn)、中国政府采购网(www.ccgp.gov.cn)查询投标人的信用记录。(2)信用信息查询记录和证据留存的具体方式：采购代理机构将记录、打印各投标人的信用信息查询结果，与其他采购文件一并保存。(3)信用信息的使用规则：依据《财政部关于在政府采购活动中查询及使用信用记录有关问题的通知》财库〔2016〕125号规定，投标人有下列情形之一，其投标文件在资格性检查中将被资格审查小组视为无效投标：①被列入“信用中国”网站(www.creditchina.gov.cn)中政府采购严重违法失信名单的；②被列入中国政府采购网(www.ccgp.gov.cn)中政府采购严重违法失信行为信息记录的；③属于《政府采购法》第二十二条的“重大违法记录”。26.1.2根据《关于进一步规范政府采购评审工作有关问题的通知》财库[2012]69号文件规定，评标委员会对投标人技术部分的客观评分项的评分应当一致，对其他需要借助专业知识评判的主观评分项，应当严格按照评分细则公正评分。评标委员会对投标人技术部分的实际得分少于招标文件设定的技术部分总分50%的作为无效标处理。26.2根据《政府采购质疑和投诉办法》(财政部令第94号)第十六条的规定：对采购过程、中标或者成交结果提出的质疑，合格供应商符合法定数量时，可以从合格的中标或者成交候选人中另行确定中标、成交供应商的，应当依法另行确定中标、成交供应商；否则应当重新开展采购活动。26.3质疑与投诉26.3.1质疑26.3.1.1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(1)对可以质疑的采购文件提出质疑的，为收到采购文件之日；(2)对采购过程提出质疑的，为各采购程序环节结束之日；(3)对成交结果提出质疑的，为成交结果公告期限届满之日。26.3.1.2供应商在法定质疑期内须一次性提出针对同一采购程序环节的质疑。26.3.1.3接收质疑函的方式、联系部门、联系电话和通讯地址(1)接收质疑函的方式：现场方式（需同时递交word版本的质疑函）；(2)接收质疑函的联系部门：办公室；(3)接收质疑函的联系电话：0591-87078518；(4)接收质疑函的通讯地址：福州市晋安区金鸡山路27号2号楼二层。26.3.2投诉26.3.2.1根据《政府采购质疑和投诉办法》(财政部令第94号)第十八条规定，“投诉人投诉时,应当提交投诉书和必要的证明材料，并按照被投诉采购人、采购代理机构和与投诉事项有关的供应商数量提供投诉书的副本”。根据《政府采购质疑和投诉办法》(财政部令第94号)第二十条规定，“供应商投诉的事项不得超出已质疑事项的范围，但基于质疑答复内容提出的投诉事项除外。”</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12.1竞争性磋商文件第二章“竞争性磋商须知”表2中“⑦关于“全称”、“供应商代表签字”及“加盖单位公章”：a.在电子响应文件中，涉及“全称”和“供应商代表签字”的内容可使用打字录入方式完成。”更正为“⑦关于“全称”、“单位负责人签字”、“供应商代表签字”及“加盖单位公章”：a.在电子响应文件中，涉及“全称”、“单位负责人签字”、和“供应商代表签字”的内容可使用打字录入方式完成。”。 12.2本项目供应商可以选择携带CA证书到磋商地点进行解密或选择远程解密。 远程解密：a.若供应商选择远程解密（相关操作手册可查看福建省政府采购网首页操作指南），无须将CA证书送至磋商地点。若供应商选择携带CA证书到磋商地点由代理机构进行解密的，应在首次响应文件递交截止时间前将CA证书送至磋商地点否则不予接收。b.供应商选择远程解密的，请在磋商开启时自行登录采购系统，线上参与磋商开启流程，并按规定在相应时段对响应文件进行远程解密、远程签章。 c.供应商应确保自身设施、设备、网络环境状况良好，在操作过程中因供应商自身原因造成无法远程解密或签章的，后果由供应商自行承担。d.在规定的时间内提交电子响应文件的供应商在磋商开启时将由系统判定签到情况，供应商应在远程解密开启后在规定时间内使用CA数字证书进行响应文件的解密操作，逾期未解密的视为放弃响应和放弃对本次项目开启全过程提出疑义的权利，并承担由此导致的一切后果。e.解密结束后，供应商应当对开启记录表进行签章确认，并在远程签章开放后的规定时间内完成，逾期未签章的视为认同开启结果。f.远程解密及签章的开放起始时间均在开启过程中临时开放，请供应商务必密切关注，并根据流程在系统内按时操作，否则产生的后果由供应商自行承担。 ★12.3请各供应商代表携带本人身份证原件到磋商地点现场参加磋商活动。供应商代表未携带本人身份证原件的，该供应商将被退出本项目磋商，其提交的响应文件和报价将被否决。 ★12.4在最终报价环节，供应商须登录福建省政府采购网后台提交最后报价（最后报价须加盖供应商CA章），且提交最后报价有时间限制。供应商须规定时间内提交最后报价，否则视为无效响应。 12.5友情提示：建议各潜在供应商携带已下载CA控件的笔记本电脑至磋商地点进行最后报价。 12.6本项目执行《关于福建省财政厅关于电子化政府采购项目中视为串标情形认定与处理的指导意见》（闽财购〔2018〕30号）规定。</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满分为20.00分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技术部分评分PT 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需求理解情况</w:t>
            </w:r>
          </w:p>
        </w:tc>
        <w:tc>
          <w:tcPr>
            <w:tcW w:type="dxa" w:w="831"/>
          </w:tcPr>
          <w:p>
            <w:pPr>
              <w:pStyle w:val="null3"/>
              <w:jc w:val="right"/>
            </w:pPr>
            <w:r>
              <w:rPr/>
              <w:t>3.00</w:t>
            </w:r>
          </w:p>
        </w:tc>
        <w:tc>
          <w:tcPr>
            <w:tcW w:type="dxa" w:w="4153"/>
          </w:tcPr>
          <w:p>
            <w:pPr>
              <w:pStyle w:val="null3"/>
              <w:jc w:val="left"/>
            </w:pPr>
            <w:r>
              <w:rPr/>
              <w:t>根据供应商对此项需求理解情况评分：①对此项需求理解充分，能准确满足用户的要求的得3分；②对此项需求理解较为充分，能较准确地满足用户的要求的得2.5分；③对此项需求理解一般，基本体现用户需求的得2分；④没有描述或描述明显不符合项目服务要求的，本项不得分。</w:t>
            </w:r>
          </w:p>
        </w:tc>
      </w:tr>
      <w:tr>
        <w:tc>
          <w:tcPr>
            <w:tcW w:type="dxa" w:w="3322"/>
          </w:tcPr>
          <w:p>
            <w:pPr>
              <w:pStyle w:val="null3"/>
              <w:jc w:val="left"/>
            </w:pPr>
            <w:r>
              <w:rPr/>
              <w:t>技术方案整体设计情况</w:t>
            </w:r>
          </w:p>
        </w:tc>
        <w:tc>
          <w:tcPr>
            <w:tcW w:type="dxa" w:w="831"/>
          </w:tcPr>
          <w:p>
            <w:pPr>
              <w:pStyle w:val="null3"/>
              <w:jc w:val="right"/>
            </w:pPr>
            <w:r>
              <w:rPr/>
              <w:t>3.00</w:t>
            </w:r>
          </w:p>
        </w:tc>
        <w:tc>
          <w:tcPr>
            <w:tcW w:type="dxa" w:w="4153"/>
          </w:tcPr>
          <w:p>
            <w:pPr>
              <w:pStyle w:val="null3"/>
              <w:jc w:val="left"/>
            </w:pPr>
            <w:r>
              <w:rPr/>
              <w:t>根据供应商提供的技术方案整体设计情况评分：①整体方案设计合理，能准确满足用户的要求的得3分；②整体方案设计较为合理，能较准确地满足用户的要求的得2.5分；③整体方案设计一般，基本满足用户的要求的得2分；④没有描述或描述明显不符合项目服务要求的，本项不得分。</w:t>
            </w:r>
          </w:p>
        </w:tc>
      </w:tr>
      <w:tr>
        <w:tc>
          <w:tcPr>
            <w:tcW w:type="dxa" w:w="3322"/>
          </w:tcPr>
          <w:p>
            <w:pPr>
              <w:pStyle w:val="null3"/>
              <w:jc w:val="left"/>
            </w:pPr>
            <w:r>
              <w:rPr/>
              <w:t>质量控制措施</w:t>
            </w:r>
          </w:p>
        </w:tc>
        <w:tc>
          <w:tcPr>
            <w:tcW w:type="dxa" w:w="831"/>
          </w:tcPr>
          <w:p>
            <w:pPr>
              <w:pStyle w:val="null3"/>
              <w:jc w:val="right"/>
            </w:pPr>
            <w:r>
              <w:rPr/>
              <w:t>3.00</w:t>
            </w:r>
          </w:p>
        </w:tc>
        <w:tc>
          <w:tcPr>
            <w:tcW w:type="dxa" w:w="4153"/>
          </w:tcPr>
          <w:p>
            <w:pPr>
              <w:pStyle w:val="null3"/>
              <w:jc w:val="left"/>
            </w:pPr>
            <w:r>
              <w:rPr/>
              <w:t>根据供应商提供的质量控制措施评分：①质量控制措施描述清晰、明确、合理，能准确满足用户的要求的得3分；②质量控制措施描述较为清晰、明确、合理，能较准确地满足用户的要求的得2.5分；③质量控制措施描述一般，基本满足用户的要求的得2分；④没有描述或描述明显不符合项目服务要求的，本项不得分。</w:t>
            </w:r>
          </w:p>
        </w:tc>
      </w:tr>
      <w:tr>
        <w:tc>
          <w:tcPr>
            <w:tcW w:type="dxa" w:w="3322"/>
          </w:tcPr>
          <w:p>
            <w:pPr>
              <w:pStyle w:val="null3"/>
              <w:jc w:val="left"/>
            </w:pPr>
            <w:r>
              <w:rPr/>
              <w:t>林地、采伐审批监管功能理解情况</w:t>
            </w:r>
          </w:p>
        </w:tc>
        <w:tc>
          <w:tcPr>
            <w:tcW w:type="dxa" w:w="831"/>
          </w:tcPr>
          <w:p>
            <w:pPr>
              <w:pStyle w:val="null3"/>
              <w:jc w:val="right"/>
            </w:pPr>
            <w:r>
              <w:rPr/>
              <w:t>2.00</w:t>
            </w:r>
          </w:p>
        </w:tc>
        <w:tc>
          <w:tcPr>
            <w:tcW w:type="dxa" w:w="4153"/>
          </w:tcPr>
          <w:p>
            <w:pPr>
              <w:pStyle w:val="null3"/>
              <w:jc w:val="left"/>
            </w:pPr>
            <w:r>
              <w:rPr/>
              <w:t>根据供应商对林地、采伐审批监管功能的理解情况评分：①对此项需求理解充分，能准确满足用户的要求的得2分；②对此项需求理解较为充分，能较准确地满足用户的要求的得1.5分；③对此项需求理解一般，基本体现用户需求的得1分；④没有描述或描述明显不符合项目服务要求的，本项不得分。</w:t>
            </w:r>
          </w:p>
        </w:tc>
      </w:tr>
      <w:tr>
        <w:tc>
          <w:tcPr>
            <w:tcW w:type="dxa" w:w="3322"/>
          </w:tcPr>
          <w:p>
            <w:pPr>
              <w:pStyle w:val="null3"/>
              <w:jc w:val="left"/>
            </w:pPr>
            <w:r>
              <w:rPr/>
              <w:t>林地、采伐审批监管功能数据结构</w:t>
            </w:r>
          </w:p>
        </w:tc>
        <w:tc>
          <w:tcPr>
            <w:tcW w:type="dxa" w:w="831"/>
          </w:tcPr>
          <w:p>
            <w:pPr>
              <w:pStyle w:val="null3"/>
              <w:jc w:val="right"/>
            </w:pPr>
            <w:r>
              <w:rPr/>
              <w:t>2.00</w:t>
            </w:r>
          </w:p>
        </w:tc>
        <w:tc>
          <w:tcPr>
            <w:tcW w:type="dxa" w:w="4153"/>
          </w:tcPr>
          <w:p>
            <w:pPr>
              <w:pStyle w:val="null3"/>
              <w:jc w:val="left"/>
            </w:pPr>
            <w:r>
              <w:rPr/>
              <w:t>根据供应商对林地、采伐审批监管功能数据结构的理解情况评分：①对此项需求理解充分，能准确满足用户的要求的得2分；②对此项需求理解较为充分，能较准确地满足用户的要求的得1.5分；③对此项需求理解一般，基本体现用户需求的得1分；④没有描述或描述明显不符合项目服务要求的，本项不得分。</w:t>
            </w:r>
          </w:p>
        </w:tc>
      </w:tr>
      <w:tr>
        <w:tc>
          <w:tcPr>
            <w:tcW w:type="dxa" w:w="3322"/>
          </w:tcPr>
          <w:p>
            <w:pPr>
              <w:pStyle w:val="null3"/>
              <w:jc w:val="left"/>
            </w:pPr>
            <w:r>
              <w:rPr/>
              <w:t>林地、采伐审批监管功能数据收集</w:t>
            </w:r>
          </w:p>
        </w:tc>
        <w:tc>
          <w:tcPr>
            <w:tcW w:type="dxa" w:w="831"/>
          </w:tcPr>
          <w:p>
            <w:pPr>
              <w:pStyle w:val="null3"/>
              <w:jc w:val="right"/>
            </w:pPr>
            <w:r>
              <w:rPr/>
              <w:t>2.00</w:t>
            </w:r>
          </w:p>
        </w:tc>
        <w:tc>
          <w:tcPr>
            <w:tcW w:type="dxa" w:w="4153"/>
          </w:tcPr>
          <w:p>
            <w:pPr>
              <w:pStyle w:val="null3"/>
              <w:jc w:val="left"/>
            </w:pPr>
            <w:r>
              <w:rPr/>
              <w:t>根据供应商对林地、采伐审批监管功能数据收集的理解情况评分：①对此项需求理解充分，能准确满足用户的要求的得2分；②对此项需求理解较为充分，能较准确地满足用户的要求的得1.5分；③对此项需求理解一般，基本体现用户需求的得1分；④没有描述或描述明显不符合项目服务要求的，本项不得分。</w:t>
            </w:r>
          </w:p>
        </w:tc>
      </w:tr>
      <w:tr>
        <w:tc>
          <w:tcPr>
            <w:tcW w:type="dxa" w:w="3322"/>
          </w:tcPr>
          <w:p>
            <w:pPr>
              <w:pStyle w:val="null3"/>
              <w:jc w:val="left"/>
            </w:pPr>
            <w:r>
              <w:rPr/>
              <w:t>林地、采伐审批监管功能林地事项办结生成监管数据规则添加</w:t>
            </w:r>
          </w:p>
        </w:tc>
        <w:tc>
          <w:tcPr>
            <w:tcW w:type="dxa" w:w="831"/>
          </w:tcPr>
          <w:p>
            <w:pPr>
              <w:pStyle w:val="null3"/>
              <w:jc w:val="right"/>
            </w:pPr>
            <w:r>
              <w:rPr/>
              <w:t>3.00</w:t>
            </w:r>
          </w:p>
        </w:tc>
        <w:tc>
          <w:tcPr>
            <w:tcW w:type="dxa" w:w="4153"/>
          </w:tcPr>
          <w:p>
            <w:pPr>
              <w:pStyle w:val="null3"/>
              <w:jc w:val="left"/>
            </w:pPr>
            <w:r>
              <w:rPr/>
              <w:t>根据供应商对林地、采伐审批监管功能林地事项办结生成监管数据规则添加的理解情况评分：①对此项需求理解充分，能准确满足用户的要求的得3分；②对此项需求理解较为充分，能较准确地满足用户的要求的得2.5分；③对此项需求理解一般，基本体现用户需求的得2分；④没有描述或描述明显不符合项目服务要求的，本项不得分。</w:t>
            </w:r>
          </w:p>
        </w:tc>
      </w:tr>
      <w:tr>
        <w:tc>
          <w:tcPr>
            <w:tcW w:type="dxa" w:w="3322"/>
          </w:tcPr>
          <w:p>
            <w:pPr>
              <w:pStyle w:val="null3"/>
              <w:jc w:val="left"/>
            </w:pPr>
            <w:r>
              <w:rPr/>
              <w:t>林地、采伐审批监管功能林地待监管数据提醒服务功能开发</w:t>
            </w:r>
          </w:p>
        </w:tc>
        <w:tc>
          <w:tcPr>
            <w:tcW w:type="dxa" w:w="831"/>
          </w:tcPr>
          <w:p>
            <w:pPr>
              <w:pStyle w:val="null3"/>
              <w:jc w:val="right"/>
            </w:pPr>
            <w:r>
              <w:rPr/>
              <w:t>3.00</w:t>
            </w:r>
          </w:p>
        </w:tc>
        <w:tc>
          <w:tcPr>
            <w:tcW w:type="dxa" w:w="4153"/>
          </w:tcPr>
          <w:p>
            <w:pPr>
              <w:pStyle w:val="null3"/>
              <w:jc w:val="left"/>
            </w:pPr>
            <w:r>
              <w:rPr/>
              <w:t>根据供应商对林地、采伐审批监管功能林地待监管数据提醒服务功能开发的理解情况评分：①对此项需求理解充分，能准确满足用户的要求的得3分；②对此项需求理解较为充分，能较准确地满足用户的要求的得2.5分；③对此项需求理解一般，基本体现用户需求的得2分；④没有描述或描述明显不符合项目服务要求的，本项不得分。</w:t>
            </w:r>
          </w:p>
        </w:tc>
      </w:tr>
      <w:tr>
        <w:tc>
          <w:tcPr>
            <w:tcW w:type="dxa" w:w="3322"/>
          </w:tcPr>
          <w:p>
            <w:pPr>
              <w:pStyle w:val="null3"/>
              <w:jc w:val="left"/>
            </w:pPr>
            <w:r>
              <w:rPr/>
              <w:t>林地、采伐审批监管功能林地审批监管功能开发</w:t>
            </w:r>
          </w:p>
        </w:tc>
        <w:tc>
          <w:tcPr>
            <w:tcW w:type="dxa" w:w="831"/>
          </w:tcPr>
          <w:p>
            <w:pPr>
              <w:pStyle w:val="null3"/>
              <w:jc w:val="right"/>
            </w:pPr>
            <w:r>
              <w:rPr/>
              <w:t>3.00</w:t>
            </w:r>
          </w:p>
        </w:tc>
        <w:tc>
          <w:tcPr>
            <w:tcW w:type="dxa" w:w="4153"/>
          </w:tcPr>
          <w:p>
            <w:pPr>
              <w:pStyle w:val="null3"/>
              <w:jc w:val="left"/>
            </w:pPr>
            <w:r>
              <w:rPr/>
              <w:t>根据供应商对林地、采伐审批监管功能林地审批监管功能开发的理解情况评分：①对此项需求理解充分，能准确满足用户的要求的得3分；②对此项需求理解较为充分，能较准确地满足用户的要求的得2.5分；③对此项需求理解一般，基本体现用户需求的得2分；④没有描述或描述明显不符合项目服务要求的，本项不得分。</w:t>
            </w:r>
          </w:p>
        </w:tc>
      </w:tr>
      <w:tr>
        <w:tc>
          <w:tcPr>
            <w:tcW w:type="dxa" w:w="3322"/>
          </w:tcPr>
          <w:p>
            <w:pPr>
              <w:pStyle w:val="null3"/>
              <w:jc w:val="left"/>
            </w:pPr>
            <w:r>
              <w:rPr/>
              <w:t>林地、采伐审批监管功能采伐审批监管功能开发</w:t>
            </w:r>
          </w:p>
        </w:tc>
        <w:tc>
          <w:tcPr>
            <w:tcW w:type="dxa" w:w="831"/>
          </w:tcPr>
          <w:p>
            <w:pPr>
              <w:pStyle w:val="null3"/>
              <w:jc w:val="right"/>
            </w:pPr>
            <w:r>
              <w:rPr/>
              <w:t>3.00</w:t>
            </w:r>
          </w:p>
        </w:tc>
        <w:tc>
          <w:tcPr>
            <w:tcW w:type="dxa" w:w="4153"/>
          </w:tcPr>
          <w:p>
            <w:pPr>
              <w:pStyle w:val="null3"/>
              <w:jc w:val="left"/>
            </w:pPr>
            <w:r>
              <w:rPr/>
              <w:t>根据供应商对林地、采伐审批监管功能采伐审批监管功能开发的理解情况评分：①对此项需求理解充分，能准确满足用户的要求的得3分；②对此项需求理解较为充分，能较准确地满足用户的要求的得2.5分；③对此项需求理解一般，基本体现用户需求的得2分；④没有描述或描述明显不符合项目服务要求的，本项不得分。</w:t>
            </w:r>
          </w:p>
        </w:tc>
      </w:tr>
      <w:tr>
        <w:tc>
          <w:tcPr>
            <w:tcW w:type="dxa" w:w="3322"/>
          </w:tcPr>
          <w:p>
            <w:pPr>
              <w:pStyle w:val="null3"/>
              <w:jc w:val="left"/>
            </w:pPr>
            <w:r>
              <w:rPr/>
              <w:t>不动产数据采伐审批理解情况</w:t>
            </w:r>
          </w:p>
        </w:tc>
        <w:tc>
          <w:tcPr>
            <w:tcW w:type="dxa" w:w="831"/>
          </w:tcPr>
          <w:p>
            <w:pPr>
              <w:pStyle w:val="null3"/>
              <w:jc w:val="right"/>
            </w:pPr>
            <w:r>
              <w:rPr/>
              <w:t>2.00</w:t>
            </w:r>
          </w:p>
        </w:tc>
        <w:tc>
          <w:tcPr>
            <w:tcW w:type="dxa" w:w="4153"/>
          </w:tcPr>
          <w:p>
            <w:pPr>
              <w:pStyle w:val="null3"/>
              <w:jc w:val="left"/>
            </w:pPr>
            <w:r>
              <w:rPr/>
              <w:t>根据供应商对不动产数据采伐审批功能的理解情况评分：①对此项需求理解充分，能准确满足用户的要求的得2分；②对此项需求理解较为充分，能较准确地满足用户的要求的得1.5分；③对此项需求理解一般，基本体现用户需求的得1分；④没有描述或描述明显不符合项目服务要求的，本项不得分。</w:t>
            </w:r>
          </w:p>
        </w:tc>
      </w:tr>
      <w:tr>
        <w:tc>
          <w:tcPr>
            <w:tcW w:type="dxa" w:w="3322"/>
          </w:tcPr>
          <w:p>
            <w:pPr>
              <w:pStyle w:val="null3"/>
              <w:jc w:val="left"/>
            </w:pPr>
            <w:r>
              <w:rPr/>
              <w:t>不动产数据采伐审批应用功能协助林权不动产对接系统单位及人员初始化配置</w:t>
            </w:r>
          </w:p>
        </w:tc>
        <w:tc>
          <w:tcPr>
            <w:tcW w:type="dxa" w:w="831"/>
          </w:tcPr>
          <w:p>
            <w:pPr>
              <w:pStyle w:val="null3"/>
              <w:jc w:val="right"/>
            </w:pPr>
            <w:r>
              <w:rPr/>
              <w:t>3.00</w:t>
            </w:r>
          </w:p>
        </w:tc>
        <w:tc>
          <w:tcPr>
            <w:tcW w:type="dxa" w:w="4153"/>
          </w:tcPr>
          <w:p>
            <w:pPr>
              <w:pStyle w:val="null3"/>
              <w:jc w:val="left"/>
            </w:pPr>
            <w:r>
              <w:rPr/>
              <w:t>根据供应商对不动产数据采伐审批应用功能协助林权不动产对接系统单位及人员初始化配置的理解情况评分：①对此项需求理解充分，能准确满足用户的要求的得3分；②对此项需求理解较为充分，能较准确地满足用户的要求的得2.5分；③对此项需求理解一般，基本体现用户需求的得2分；④没有描述或描述明显不符合项目服务要求的，本项不得分。</w:t>
            </w:r>
          </w:p>
        </w:tc>
      </w:tr>
      <w:tr>
        <w:tc>
          <w:tcPr>
            <w:tcW w:type="dxa" w:w="3322"/>
          </w:tcPr>
          <w:p>
            <w:pPr>
              <w:pStyle w:val="null3"/>
              <w:jc w:val="left"/>
            </w:pPr>
            <w:r>
              <w:rPr/>
              <w:t>不动产数据采伐审批应用功能采伐申请调用林权不动产数据（属性调用）</w:t>
            </w:r>
          </w:p>
        </w:tc>
        <w:tc>
          <w:tcPr>
            <w:tcW w:type="dxa" w:w="831"/>
          </w:tcPr>
          <w:p>
            <w:pPr>
              <w:pStyle w:val="null3"/>
              <w:jc w:val="right"/>
            </w:pPr>
            <w:r>
              <w:rPr/>
              <w:t>2.00</w:t>
            </w:r>
          </w:p>
        </w:tc>
        <w:tc>
          <w:tcPr>
            <w:tcW w:type="dxa" w:w="4153"/>
          </w:tcPr>
          <w:p>
            <w:pPr>
              <w:pStyle w:val="null3"/>
              <w:jc w:val="left"/>
            </w:pPr>
            <w:r>
              <w:rPr/>
              <w:t>根据供应商对不动产数据采伐审批应用功能采伐申请调用林权不动产数据（属性调用）的理解情况评分：①对此项需求理解充分，能准确满足用户的要求的得2分；②对此项需求理解较为充分，能较准确地满足用户的要求的得1.5分；③对此项需求理解一般，基本体现用户需求的得1分；④没有描述或描述明显不符合项目服务要求的，本项不得分。</w:t>
            </w:r>
          </w:p>
        </w:tc>
      </w:tr>
      <w:tr>
        <w:tc>
          <w:tcPr>
            <w:tcW w:type="dxa" w:w="3322"/>
          </w:tcPr>
          <w:p>
            <w:pPr>
              <w:pStyle w:val="null3"/>
              <w:jc w:val="left"/>
            </w:pPr>
            <w:r>
              <w:rPr/>
              <w:t>不动产数据采伐审批应用功能采伐申请调用林权不动产数据（矢量数据调用）</w:t>
            </w:r>
          </w:p>
        </w:tc>
        <w:tc>
          <w:tcPr>
            <w:tcW w:type="dxa" w:w="831"/>
          </w:tcPr>
          <w:p>
            <w:pPr>
              <w:pStyle w:val="null3"/>
              <w:jc w:val="right"/>
            </w:pPr>
            <w:r>
              <w:rPr/>
              <w:t>3.00</w:t>
            </w:r>
          </w:p>
        </w:tc>
        <w:tc>
          <w:tcPr>
            <w:tcW w:type="dxa" w:w="4153"/>
          </w:tcPr>
          <w:p>
            <w:pPr>
              <w:pStyle w:val="null3"/>
              <w:jc w:val="left"/>
            </w:pPr>
            <w:r>
              <w:rPr/>
              <w:t>根据供应商对不动产数据采伐审批应用功能采伐申请调用林权不动产数据（矢量数据调用）的理解情况评分：①对此项需求理解充分，能准确满足用户的要求的得3分；②对此项需求理解较为充分，能较准确地满足用户的要求的得2.5分；③对此项需求理解一般，基本体现用户需求的得2分；④没有描述或描述明显不符合项目服务要求的，本项不得分。</w:t>
            </w:r>
          </w:p>
        </w:tc>
      </w:tr>
      <w:tr>
        <w:tc>
          <w:tcPr>
            <w:tcW w:type="dxa" w:w="3322"/>
          </w:tcPr>
          <w:p>
            <w:pPr>
              <w:pStyle w:val="null3"/>
              <w:jc w:val="left"/>
            </w:pPr>
            <w:r>
              <w:rPr/>
              <w:t>不动产数据采伐审批应用功能林权不动产矢量数据电子地图展示</w:t>
            </w:r>
          </w:p>
        </w:tc>
        <w:tc>
          <w:tcPr>
            <w:tcW w:type="dxa" w:w="831"/>
          </w:tcPr>
          <w:p>
            <w:pPr>
              <w:pStyle w:val="null3"/>
              <w:jc w:val="right"/>
            </w:pPr>
            <w:r>
              <w:rPr/>
              <w:t>3.00</w:t>
            </w:r>
          </w:p>
        </w:tc>
        <w:tc>
          <w:tcPr>
            <w:tcW w:type="dxa" w:w="4153"/>
          </w:tcPr>
          <w:p>
            <w:pPr>
              <w:pStyle w:val="null3"/>
              <w:jc w:val="left"/>
            </w:pPr>
            <w:r>
              <w:rPr/>
              <w:t>根据供应商对不动产数据采伐审批应用功能林权不动产矢量数据电子地图展示的理解情况评分：①对此项需求理解充分，能准确满足用户的要求的得3分；②对此项需求理解较为充分，能较准确地满足用户的要求的得2.5分；③对此项需求理解一般，基本体现用户需求的得2分；④没有描述或描述明显不符合项目服务要求的，本项不得分。</w:t>
            </w:r>
          </w:p>
        </w:tc>
      </w:tr>
      <w:tr>
        <w:tc>
          <w:tcPr>
            <w:tcW w:type="dxa" w:w="3322"/>
          </w:tcPr>
          <w:p>
            <w:pPr>
              <w:pStyle w:val="null3"/>
              <w:jc w:val="left"/>
            </w:pPr>
            <w:r>
              <w:rPr/>
              <w:t>不动产数据采伐审批应用功能林地不动产电子图层生成</w:t>
            </w:r>
          </w:p>
        </w:tc>
        <w:tc>
          <w:tcPr>
            <w:tcW w:type="dxa" w:w="831"/>
          </w:tcPr>
          <w:p>
            <w:pPr>
              <w:pStyle w:val="null3"/>
              <w:jc w:val="right"/>
            </w:pPr>
            <w:r>
              <w:rPr/>
              <w:t>3.00</w:t>
            </w:r>
          </w:p>
        </w:tc>
        <w:tc>
          <w:tcPr>
            <w:tcW w:type="dxa" w:w="4153"/>
          </w:tcPr>
          <w:p>
            <w:pPr>
              <w:pStyle w:val="null3"/>
              <w:jc w:val="left"/>
            </w:pPr>
            <w:r>
              <w:rPr/>
              <w:t>根据供应商对不动产数据采伐审批应用功能林地不动产电子图层生成的理解情况评分：①对此项需求理解充分，能准确满足用户的要求的得3分；②对此项需求理解较为充分，能较准确地满足用户的要求的得2.5分；③对此项需求理解一般，基本体现用户需求的得2分；④没有描述或描述明显不符合项目服务要求的，本项不得分。</w:t>
            </w:r>
          </w:p>
        </w:tc>
      </w:tr>
      <w:tr>
        <w:tc>
          <w:tcPr>
            <w:tcW w:type="dxa" w:w="3322"/>
          </w:tcPr>
          <w:p>
            <w:pPr>
              <w:pStyle w:val="null3"/>
              <w:jc w:val="left"/>
            </w:pPr>
            <w:r>
              <w:rPr/>
              <w:t>统计表新增</w:t>
            </w:r>
          </w:p>
        </w:tc>
        <w:tc>
          <w:tcPr>
            <w:tcW w:type="dxa" w:w="831"/>
          </w:tcPr>
          <w:p>
            <w:pPr>
              <w:pStyle w:val="null3"/>
              <w:jc w:val="right"/>
            </w:pPr>
            <w:r>
              <w:rPr/>
              <w:t>3.00</w:t>
            </w:r>
          </w:p>
        </w:tc>
        <w:tc>
          <w:tcPr>
            <w:tcW w:type="dxa" w:w="4153"/>
          </w:tcPr>
          <w:p>
            <w:pPr>
              <w:pStyle w:val="null3"/>
              <w:jc w:val="left"/>
            </w:pPr>
            <w:r>
              <w:rPr/>
              <w:t>根据供应商对统计表新增的理解情况评分：①对此项需求理解充分，能准确满足用户的要求的得3分；②对此项需求理解较为充分，能较准确地满足用户的要求的得2.5分；③对此项需求理解一般，基本体现用户需求的得2分；④没有描述或描述明显不符合项目服务要求的，本项不得分。</w:t>
            </w:r>
          </w:p>
        </w:tc>
      </w:tr>
      <w:tr>
        <w:tc>
          <w:tcPr>
            <w:tcW w:type="dxa" w:w="3322"/>
          </w:tcPr>
          <w:p>
            <w:pPr>
              <w:pStyle w:val="null3"/>
              <w:jc w:val="left"/>
            </w:pPr>
            <w:r>
              <w:rPr/>
              <w:t>国家林草种苗管理系统对接理解情况</w:t>
            </w:r>
          </w:p>
        </w:tc>
        <w:tc>
          <w:tcPr>
            <w:tcW w:type="dxa" w:w="831"/>
          </w:tcPr>
          <w:p>
            <w:pPr>
              <w:pStyle w:val="null3"/>
              <w:jc w:val="right"/>
            </w:pPr>
            <w:r>
              <w:rPr/>
              <w:t>2.00</w:t>
            </w:r>
          </w:p>
        </w:tc>
        <w:tc>
          <w:tcPr>
            <w:tcW w:type="dxa" w:w="4153"/>
          </w:tcPr>
          <w:p>
            <w:pPr>
              <w:pStyle w:val="null3"/>
              <w:jc w:val="left"/>
            </w:pPr>
            <w:r>
              <w:rPr/>
              <w:t>根据供应商对国家林草种苗管理系统对接功能的理解情况评分：①对此项需求理解充分，能准确满足用户的要求的得2分；②对此项需求理解较为充分，能较准确地满足用户的要求的得1.5分；③对此项需求理解一般，基本体现用户需求的得1分；④没有描述或描述明显不符合项目服务要求的，本项不得分。</w:t>
            </w:r>
          </w:p>
        </w:tc>
      </w:tr>
      <w:tr>
        <w:tc>
          <w:tcPr>
            <w:tcW w:type="dxa" w:w="3322"/>
          </w:tcPr>
          <w:p>
            <w:pPr>
              <w:pStyle w:val="null3"/>
              <w:jc w:val="left"/>
            </w:pPr>
            <w:r>
              <w:rPr/>
              <w:t>国家林草种苗管理系统对接数据筛选</w:t>
            </w:r>
          </w:p>
        </w:tc>
        <w:tc>
          <w:tcPr>
            <w:tcW w:type="dxa" w:w="831"/>
          </w:tcPr>
          <w:p>
            <w:pPr>
              <w:pStyle w:val="null3"/>
              <w:jc w:val="right"/>
            </w:pPr>
            <w:r>
              <w:rPr/>
              <w:t>2.00</w:t>
            </w:r>
          </w:p>
        </w:tc>
        <w:tc>
          <w:tcPr>
            <w:tcW w:type="dxa" w:w="4153"/>
          </w:tcPr>
          <w:p>
            <w:pPr>
              <w:pStyle w:val="null3"/>
              <w:jc w:val="left"/>
            </w:pPr>
            <w:r>
              <w:rPr/>
              <w:t>根据供应商对国家林草种苗管理系统对接数据筛选的理解情况评分：①对此项需求理解充分，能准确满足用户的要求的得2分；②对此项需求理解较为充分，能较准确地满足用户的要求的得1.5分；③对此项需求理解一般，基本体现用户需求的得1分；④没有描述或描述明显不符合项目服务要求的，本项不得分。</w:t>
            </w:r>
          </w:p>
        </w:tc>
      </w:tr>
      <w:tr>
        <w:tc>
          <w:tcPr>
            <w:tcW w:type="dxa" w:w="3322"/>
          </w:tcPr>
          <w:p>
            <w:pPr>
              <w:pStyle w:val="null3"/>
              <w:jc w:val="left"/>
            </w:pPr>
            <w:r>
              <w:rPr/>
              <w:t>国家林草种苗管理系统对接数据收集</w:t>
            </w:r>
          </w:p>
        </w:tc>
        <w:tc>
          <w:tcPr>
            <w:tcW w:type="dxa" w:w="831"/>
          </w:tcPr>
          <w:p>
            <w:pPr>
              <w:pStyle w:val="null3"/>
              <w:jc w:val="right"/>
            </w:pPr>
            <w:r>
              <w:rPr/>
              <w:t>2.00</w:t>
            </w:r>
          </w:p>
        </w:tc>
        <w:tc>
          <w:tcPr>
            <w:tcW w:type="dxa" w:w="4153"/>
          </w:tcPr>
          <w:p>
            <w:pPr>
              <w:pStyle w:val="null3"/>
              <w:jc w:val="left"/>
            </w:pPr>
            <w:r>
              <w:rPr/>
              <w:t>根据供应商对国家林草种苗管理系统对接数据收集的理解情况评分：①对此项需求理解充分，能准确满足用户的要求的得2分；②对此项需求理解较为充分，能较准确地满足用户的要求的得1.5分；③对此项需求理解一般，基本体现用户需求的得1分；④没有描述或描述明显不符合项目服务要求的，本项不得分。</w:t>
            </w:r>
          </w:p>
        </w:tc>
      </w:tr>
      <w:tr>
        <w:tc>
          <w:tcPr>
            <w:tcW w:type="dxa" w:w="3322"/>
          </w:tcPr>
          <w:p>
            <w:pPr>
              <w:pStyle w:val="null3"/>
              <w:jc w:val="left"/>
            </w:pPr>
            <w:r>
              <w:rPr/>
              <w:t>国家林草种苗管理系统对接数据加工</w:t>
            </w:r>
          </w:p>
        </w:tc>
        <w:tc>
          <w:tcPr>
            <w:tcW w:type="dxa" w:w="831"/>
          </w:tcPr>
          <w:p>
            <w:pPr>
              <w:pStyle w:val="null3"/>
              <w:jc w:val="right"/>
            </w:pPr>
            <w:r>
              <w:rPr/>
              <w:t>3.00</w:t>
            </w:r>
          </w:p>
        </w:tc>
        <w:tc>
          <w:tcPr>
            <w:tcW w:type="dxa" w:w="4153"/>
          </w:tcPr>
          <w:p>
            <w:pPr>
              <w:pStyle w:val="null3"/>
              <w:jc w:val="left"/>
            </w:pPr>
            <w:r>
              <w:rPr/>
              <w:t>根据供应商对国家林草种苗管理系统对接数据加工的理解情况评分：①对此项需求理解充分，能准确满足用户的要求的得3分；②对此项需求理解较为充分，能较准确地满足用户的要求的得2.5分；③对此项需求理解一般，基本体现用户需求的得2分；④没有描述或描述明显不符合项目服务要求的，本项不得分。</w:t>
            </w:r>
          </w:p>
        </w:tc>
      </w:tr>
      <w:tr>
        <w:tc>
          <w:tcPr>
            <w:tcW w:type="dxa" w:w="3322"/>
          </w:tcPr>
          <w:p>
            <w:pPr>
              <w:pStyle w:val="null3"/>
              <w:jc w:val="left"/>
            </w:pPr>
            <w:r>
              <w:rPr/>
              <w:t>国家林草种苗管理系统对接数据推送</w:t>
            </w:r>
          </w:p>
        </w:tc>
        <w:tc>
          <w:tcPr>
            <w:tcW w:type="dxa" w:w="831"/>
          </w:tcPr>
          <w:p>
            <w:pPr>
              <w:pStyle w:val="null3"/>
              <w:jc w:val="right"/>
            </w:pPr>
            <w:r>
              <w:rPr/>
              <w:t>3.00</w:t>
            </w:r>
          </w:p>
        </w:tc>
        <w:tc>
          <w:tcPr>
            <w:tcW w:type="dxa" w:w="4153"/>
          </w:tcPr>
          <w:p>
            <w:pPr>
              <w:pStyle w:val="null3"/>
              <w:jc w:val="left"/>
            </w:pPr>
            <w:r>
              <w:rPr/>
              <w:t>根据供应商对国家林草种苗管理系统对接数据推送的理解情况评分：①对此项需求理解充分，能准确满足用户的要求的得3分；②对此项需求理解较为充分，能较准确地满足用户的要求的得2.5分；③对此项需求理解一般，基本体现用户需求的得2分；④没有描述或描述明显不符合项目服务要求的，本项不得分。</w:t>
            </w:r>
          </w:p>
        </w:tc>
      </w:tr>
      <w:tr>
        <w:tc>
          <w:tcPr>
            <w:tcW w:type="dxa" w:w="3322"/>
          </w:tcPr>
          <w:p>
            <w:pPr>
              <w:pStyle w:val="null3"/>
              <w:jc w:val="left"/>
            </w:pPr>
            <w:r>
              <w:rPr/>
              <w:t>国家林草种苗管理系统对接推送结果查询</w:t>
            </w:r>
          </w:p>
        </w:tc>
        <w:tc>
          <w:tcPr>
            <w:tcW w:type="dxa" w:w="831"/>
          </w:tcPr>
          <w:p>
            <w:pPr>
              <w:pStyle w:val="null3"/>
              <w:jc w:val="right"/>
            </w:pPr>
            <w:r>
              <w:rPr/>
              <w:t>2.00</w:t>
            </w:r>
          </w:p>
        </w:tc>
        <w:tc>
          <w:tcPr>
            <w:tcW w:type="dxa" w:w="4153"/>
          </w:tcPr>
          <w:p>
            <w:pPr>
              <w:pStyle w:val="null3"/>
              <w:jc w:val="left"/>
            </w:pPr>
            <w:r>
              <w:rPr/>
              <w:t>根据供应商对国家林草种苗管理系统对接推送结果查询的理解情况评分：①对此项需求理解充分，能准确满足用户的要求的得2分；②对此项需求理解较为充分，能较准确地满足用户的要求的得1.5分；③对此项需求理解一般，基本体现用户需求的得1分；④没有描述或描述明显不符合项目服务要求的，本项不得分。</w:t>
            </w:r>
          </w:p>
        </w:tc>
      </w:tr>
    </w:tbl>
    <w:p>
      <w:pPr>
        <w:pStyle w:val="null3"/>
        <w:jc w:val="left"/>
      </w:pPr>
      <w:r>
        <w:rPr/>
        <w:t>商务部分评分PB 满分为20.00分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质量管理体系</w:t>
            </w:r>
          </w:p>
        </w:tc>
        <w:tc>
          <w:tcPr>
            <w:tcW w:type="dxa" w:w="831"/>
          </w:tcPr>
          <w:p>
            <w:pPr>
              <w:pStyle w:val="null3"/>
              <w:jc w:val="right"/>
            </w:pPr>
            <w:r>
              <w:rPr/>
              <w:t>1.00</w:t>
            </w:r>
          </w:p>
        </w:tc>
        <w:tc>
          <w:tcPr>
            <w:tcW w:type="dxa" w:w="4153"/>
          </w:tcPr>
          <w:p>
            <w:pPr>
              <w:pStyle w:val="null3"/>
              <w:jc w:val="left"/>
            </w:pPr>
            <w:r>
              <w:rPr/>
              <w:t>供应商具备有效期内质量管理体系认证证书得1分，须提供证明材料并加盖供应商公章，否则不得分。</w:t>
            </w:r>
          </w:p>
        </w:tc>
      </w:tr>
      <w:tr>
        <w:tc>
          <w:tcPr>
            <w:tcW w:type="dxa" w:w="3322"/>
          </w:tcPr>
          <w:p>
            <w:pPr>
              <w:pStyle w:val="null3"/>
              <w:jc w:val="left"/>
            </w:pPr>
            <w:r>
              <w:rPr/>
              <w:t>信息技术服务管理体系认证</w:t>
            </w:r>
          </w:p>
        </w:tc>
        <w:tc>
          <w:tcPr>
            <w:tcW w:type="dxa" w:w="831"/>
          </w:tcPr>
          <w:p>
            <w:pPr>
              <w:pStyle w:val="null3"/>
              <w:jc w:val="right"/>
            </w:pPr>
            <w:r>
              <w:rPr/>
              <w:t>1.00</w:t>
            </w:r>
          </w:p>
        </w:tc>
        <w:tc>
          <w:tcPr>
            <w:tcW w:type="dxa" w:w="4153"/>
          </w:tcPr>
          <w:p>
            <w:pPr>
              <w:pStyle w:val="null3"/>
              <w:jc w:val="left"/>
            </w:pPr>
            <w:r>
              <w:rPr/>
              <w:t>供应商具备有效期内信息技术服务管理体系认证证书得1分，须提供证明材料并加盖供应商公章，否则不得分。</w:t>
            </w:r>
          </w:p>
        </w:tc>
      </w:tr>
      <w:tr>
        <w:tc>
          <w:tcPr>
            <w:tcW w:type="dxa" w:w="3322"/>
          </w:tcPr>
          <w:p>
            <w:pPr>
              <w:pStyle w:val="null3"/>
              <w:jc w:val="left"/>
            </w:pPr>
            <w:r>
              <w:rPr/>
              <w:t>ITSS运维服务三级或以上资质</w:t>
            </w:r>
          </w:p>
        </w:tc>
        <w:tc>
          <w:tcPr>
            <w:tcW w:type="dxa" w:w="831"/>
          </w:tcPr>
          <w:p>
            <w:pPr>
              <w:pStyle w:val="null3"/>
              <w:jc w:val="right"/>
            </w:pPr>
            <w:r>
              <w:rPr/>
              <w:t>1.00</w:t>
            </w:r>
          </w:p>
        </w:tc>
        <w:tc>
          <w:tcPr>
            <w:tcW w:type="dxa" w:w="4153"/>
          </w:tcPr>
          <w:p>
            <w:pPr>
              <w:pStyle w:val="null3"/>
              <w:jc w:val="left"/>
            </w:pPr>
            <w:r>
              <w:rPr/>
              <w:t>供应商具备有效期内ITSS运维服务三级或以上资质的得1分，须提供证明材料并加盖供应商公章，否则不得分。</w:t>
            </w:r>
          </w:p>
        </w:tc>
      </w:tr>
      <w:tr>
        <w:tc>
          <w:tcPr>
            <w:tcW w:type="dxa" w:w="3322"/>
          </w:tcPr>
          <w:p>
            <w:pPr>
              <w:pStyle w:val="null3"/>
              <w:jc w:val="left"/>
            </w:pPr>
            <w:r>
              <w:rPr/>
              <w:t>林政资源管理类系统软件</w:t>
            </w:r>
          </w:p>
        </w:tc>
        <w:tc>
          <w:tcPr>
            <w:tcW w:type="dxa" w:w="831"/>
          </w:tcPr>
          <w:p>
            <w:pPr>
              <w:pStyle w:val="null3"/>
              <w:jc w:val="right"/>
            </w:pPr>
            <w:r>
              <w:rPr/>
              <w:t>1.00</w:t>
            </w:r>
          </w:p>
        </w:tc>
        <w:tc>
          <w:tcPr>
            <w:tcW w:type="dxa" w:w="4153"/>
          </w:tcPr>
          <w:p>
            <w:pPr>
              <w:pStyle w:val="null3"/>
              <w:jc w:val="left"/>
            </w:pPr>
            <w:r>
              <w:rPr/>
              <w:t>供应商具备林政资源管理类系统软件著作权证书的，每提供1项著作权得1分，须提供证明材料并加盖供应商公章，否则不得分。</w:t>
            </w:r>
          </w:p>
        </w:tc>
      </w:tr>
      <w:tr>
        <w:tc>
          <w:tcPr>
            <w:tcW w:type="dxa" w:w="3322"/>
          </w:tcPr>
          <w:p>
            <w:pPr>
              <w:pStyle w:val="null3"/>
              <w:jc w:val="left"/>
            </w:pPr>
            <w:r>
              <w:rPr/>
              <w:t>林木采伐管理类系统软件</w:t>
            </w:r>
          </w:p>
        </w:tc>
        <w:tc>
          <w:tcPr>
            <w:tcW w:type="dxa" w:w="831"/>
          </w:tcPr>
          <w:p>
            <w:pPr>
              <w:pStyle w:val="null3"/>
              <w:jc w:val="right"/>
            </w:pPr>
            <w:r>
              <w:rPr/>
              <w:t>1.00</w:t>
            </w:r>
          </w:p>
        </w:tc>
        <w:tc>
          <w:tcPr>
            <w:tcW w:type="dxa" w:w="4153"/>
          </w:tcPr>
          <w:p>
            <w:pPr>
              <w:pStyle w:val="null3"/>
              <w:jc w:val="left"/>
            </w:pPr>
            <w:r>
              <w:rPr/>
              <w:t>供应商具备林木采伐管理类系统软件著作权证书的，每提供1项著作权得1分，须提供证明材料并加盖供应商公章，否则不得分。</w:t>
            </w:r>
          </w:p>
        </w:tc>
      </w:tr>
      <w:tr>
        <w:tc>
          <w:tcPr>
            <w:tcW w:type="dxa" w:w="3322"/>
          </w:tcPr>
          <w:p>
            <w:pPr>
              <w:pStyle w:val="null3"/>
              <w:jc w:val="left"/>
            </w:pPr>
            <w:r>
              <w:rPr/>
              <w:t>公益林管理信息类系统软件</w:t>
            </w:r>
          </w:p>
        </w:tc>
        <w:tc>
          <w:tcPr>
            <w:tcW w:type="dxa" w:w="831"/>
          </w:tcPr>
          <w:p>
            <w:pPr>
              <w:pStyle w:val="null3"/>
              <w:jc w:val="right"/>
            </w:pPr>
            <w:r>
              <w:rPr/>
              <w:t>1.00</w:t>
            </w:r>
          </w:p>
        </w:tc>
        <w:tc>
          <w:tcPr>
            <w:tcW w:type="dxa" w:w="4153"/>
          </w:tcPr>
          <w:p>
            <w:pPr>
              <w:pStyle w:val="null3"/>
              <w:jc w:val="left"/>
            </w:pPr>
            <w:r>
              <w:rPr/>
              <w:t>供应商具备公益林管理信息类系统软件著作权证书的，每提供1项著作权得1分，须提供证明材料并加盖供应商公章，否则不得分。</w:t>
            </w:r>
          </w:p>
        </w:tc>
      </w:tr>
      <w:tr>
        <w:tc>
          <w:tcPr>
            <w:tcW w:type="dxa" w:w="3322"/>
          </w:tcPr>
          <w:p>
            <w:pPr>
              <w:pStyle w:val="null3"/>
              <w:jc w:val="left"/>
            </w:pPr>
            <w:r>
              <w:rPr/>
              <w:t>林地林权管理信息类系统软件</w:t>
            </w:r>
          </w:p>
        </w:tc>
        <w:tc>
          <w:tcPr>
            <w:tcW w:type="dxa" w:w="831"/>
          </w:tcPr>
          <w:p>
            <w:pPr>
              <w:pStyle w:val="null3"/>
              <w:jc w:val="right"/>
            </w:pPr>
            <w:r>
              <w:rPr/>
              <w:t>1.00</w:t>
            </w:r>
          </w:p>
        </w:tc>
        <w:tc>
          <w:tcPr>
            <w:tcW w:type="dxa" w:w="4153"/>
          </w:tcPr>
          <w:p>
            <w:pPr>
              <w:pStyle w:val="null3"/>
              <w:jc w:val="left"/>
            </w:pPr>
            <w:r>
              <w:rPr/>
              <w:t>供应商具备林地林权管理信息类系统软件著作权证书的，每提供1项著作权得1分，须提供证明材料并加盖供应商公章，否则不得分。</w:t>
            </w:r>
          </w:p>
        </w:tc>
      </w:tr>
      <w:tr>
        <w:tc>
          <w:tcPr>
            <w:tcW w:type="dxa" w:w="3322"/>
          </w:tcPr>
          <w:p>
            <w:pPr>
              <w:pStyle w:val="null3"/>
              <w:jc w:val="left"/>
            </w:pPr>
            <w:r>
              <w:rPr/>
              <w:t>资源保护监测管理类</w:t>
            </w:r>
          </w:p>
        </w:tc>
        <w:tc>
          <w:tcPr>
            <w:tcW w:type="dxa" w:w="831"/>
          </w:tcPr>
          <w:p>
            <w:pPr>
              <w:pStyle w:val="null3"/>
              <w:jc w:val="right"/>
            </w:pPr>
            <w:r>
              <w:rPr/>
              <w:t>1.00</w:t>
            </w:r>
          </w:p>
        </w:tc>
        <w:tc>
          <w:tcPr>
            <w:tcW w:type="dxa" w:w="4153"/>
          </w:tcPr>
          <w:p>
            <w:pPr>
              <w:pStyle w:val="null3"/>
              <w:jc w:val="left"/>
            </w:pPr>
            <w:r>
              <w:rPr/>
              <w:t>供应商具备资源保护监测管理类系统软件著作权证书的，每提供1项著作权得1分，须提供证明材料并加盖供应商公章，否则不得分。</w:t>
            </w:r>
          </w:p>
        </w:tc>
      </w:tr>
      <w:tr>
        <w:tc>
          <w:tcPr>
            <w:tcW w:type="dxa" w:w="3322"/>
          </w:tcPr>
          <w:p>
            <w:pPr>
              <w:pStyle w:val="null3"/>
              <w:jc w:val="left"/>
            </w:pPr>
            <w:r>
              <w:rPr/>
              <w:t>业绩</w:t>
            </w:r>
          </w:p>
        </w:tc>
        <w:tc>
          <w:tcPr>
            <w:tcW w:type="dxa" w:w="831"/>
          </w:tcPr>
          <w:p>
            <w:pPr>
              <w:pStyle w:val="null3"/>
              <w:jc w:val="right"/>
            </w:pPr>
            <w:r>
              <w:rPr/>
              <w:t>3.00</w:t>
            </w:r>
          </w:p>
        </w:tc>
        <w:tc>
          <w:tcPr>
            <w:tcW w:type="dxa" w:w="4153"/>
          </w:tcPr>
          <w:p>
            <w:pPr>
              <w:pStyle w:val="null3"/>
              <w:jc w:val="left"/>
            </w:pPr>
            <w:r>
              <w:rPr/>
              <w:t>根据供应商提供2021年1月1日至今（以合同签订时间为准）类似业绩情况评分：每提供一份完整业绩证明文件得1分，满分3分。注：完整合格业绩项目：须含中标公告（提供相关网站中标公告的下载网页并注明网址）、中标通知书复印件、采购合同文本复印件，以及能够证明该业绩项目已经采购人验收合格的相关证明文件复印件，未同时提供以上各项证明材料的，该项业绩不给予计分。</w:t>
            </w:r>
          </w:p>
        </w:tc>
      </w:tr>
      <w:tr>
        <w:tc>
          <w:tcPr>
            <w:tcW w:type="dxa" w:w="3322"/>
          </w:tcPr>
          <w:p>
            <w:pPr>
              <w:pStyle w:val="null3"/>
              <w:jc w:val="left"/>
            </w:pPr>
            <w:r>
              <w:rPr/>
              <w:t>满意度</w:t>
            </w:r>
          </w:p>
        </w:tc>
        <w:tc>
          <w:tcPr>
            <w:tcW w:type="dxa" w:w="831"/>
          </w:tcPr>
          <w:p>
            <w:pPr>
              <w:pStyle w:val="null3"/>
              <w:jc w:val="right"/>
            </w:pPr>
            <w:r>
              <w:rPr/>
              <w:t>3.00</w:t>
            </w:r>
          </w:p>
        </w:tc>
        <w:tc>
          <w:tcPr>
            <w:tcW w:type="dxa" w:w="4153"/>
          </w:tcPr>
          <w:p>
            <w:pPr>
              <w:pStyle w:val="null3"/>
              <w:jc w:val="left"/>
            </w:pPr>
            <w:r>
              <w:rPr/>
              <w:t>根据投标人提供自2021年1月1日以来由其自身完成的类似项目满意度评价情况，每提供一份满意度评价的得1分，满分3分。须提供采购人出具的满意度评价（评价内容有很好、满意、优秀等好评词语的）及合同，未提供不得分。（此项与业绩同一项目不重复得分）</w:t>
            </w:r>
          </w:p>
        </w:tc>
      </w:tr>
      <w:tr>
        <w:tc>
          <w:tcPr>
            <w:tcW w:type="dxa" w:w="3322"/>
          </w:tcPr>
          <w:p>
            <w:pPr>
              <w:pStyle w:val="null3"/>
              <w:jc w:val="left"/>
            </w:pPr>
            <w:r>
              <w:rPr/>
              <w:t>运行维护保障方案</w:t>
            </w:r>
          </w:p>
        </w:tc>
        <w:tc>
          <w:tcPr>
            <w:tcW w:type="dxa" w:w="831"/>
          </w:tcPr>
          <w:p>
            <w:pPr>
              <w:pStyle w:val="null3"/>
              <w:jc w:val="right"/>
            </w:pPr>
            <w:r>
              <w:rPr/>
              <w:t>3.00</w:t>
            </w:r>
          </w:p>
        </w:tc>
        <w:tc>
          <w:tcPr>
            <w:tcW w:type="dxa" w:w="4153"/>
          </w:tcPr>
          <w:p>
            <w:pPr>
              <w:pStyle w:val="null3"/>
              <w:jc w:val="left"/>
            </w:pPr>
            <w:r>
              <w:rPr/>
              <w:t>根据投标人针对本项目提供的运行维护保障方案评分：①方案详细周全，具体实施措施到位能很好的确保所提供的服务满足现实项目服务需求的得3分；②方案较为周全且具体实施措施力度能较好的满足现实项目服务需求的得2分；③方案有所欠缺或具体实施措施力度一般但能满足现实项目服务需求的得1分；④未提供或缺乏实质性内容或方案未能满足现实项目服务需求的不得分。</w:t>
            </w:r>
          </w:p>
        </w:tc>
      </w:tr>
      <w:tr>
        <w:tc>
          <w:tcPr>
            <w:tcW w:type="dxa" w:w="3322"/>
          </w:tcPr>
          <w:p>
            <w:pPr>
              <w:pStyle w:val="null3"/>
              <w:jc w:val="left"/>
            </w:pPr>
            <w:r>
              <w:rPr/>
              <w:t>售后服务</w:t>
            </w:r>
          </w:p>
        </w:tc>
        <w:tc>
          <w:tcPr>
            <w:tcW w:type="dxa" w:w="831"/>
          </w:tcPr>
          <w:p>
            <w:pPr>
              <w:pStyle w:val="null3"/>
              <w:jc w:val="right"/>
            </w:pPr>
            <w:r>
              <w:rPr/>
              <w:t>3.00</w:t>
            </w:r>
          </w:p>
        </w:tc>
        <w:tc>
          <w:tcPr>
            <w:tcW w:type="dxa" w:w="4153"/>
          </w:tcPr>
          <w:p>
            <w:pPr>
              <w:pStyle w:val="null3"/>
              <w:jc w:val="left"/>
            </w:pPr>
            <w:r>
              <w:rPr/>
              <w:t>根据供应商在接到采购人通知后能在1小时以内提供现场服务的得3分，1.5小时以内的得2分，2小时以内的得1分，其余不得分。注：提供相关承诺函（格式自拟）。</w:t>
            </w:r>
          </w:p>
        </w:tc>
      </w:tr>
    </w:tbl>
    <w:p>
      <w:pPr>
        <w:pStyle w:val="null3"/>
        <w:jc w:val="left"/>
      </w:pPr>
      <w:r>
        <w:rPr/>
        <w:t>根据政府采购政策可享有的加分优惠评分PE</w:t>
      </w:r>
    </w:p>
    <w:p>
      <w:pPr>
        <w:pStyle w:val="null3"/>
        <w:jc w:val="left"/>
      </w:pPr>
      <w:r>
        <w:rPr/>
        <w:t>优先类节能产品、环境标志产品：无</w:t>
      </w:r>
    </w:p>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jc w:val="left"/>
      </w:pPr>
      <w:r>
        <w:rPr/>
        <w:t>采购包2：综合评分法</w:t>
      </w:r>
    </w:p>
    <w:p>
      <w:pPr>
        <w:pStyle w:val="null3"/>
        <w:jc w:val="left"/>
      </w:pPr>
      <w:r>
        <w:rPr/>
        <w:t>各项评审因素的设置如下：</w:t>
      </w:r>
    </w:p>
    <w:p>
      <w:pPr>
        <w:pStyle w:val="null3"/>
        <w:jc w:val="left"/>
      </w:pPr>
      <w:r>
        <w:rPr/>
        <w:t>报价部分评分PF 满分为20.00分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技术部分评分PT 满分为62.00分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技术要求响应情况</w:t>
            </w:r>
          </w:p>
        </w:tc>
        <w:tc>
          <w:tcPr>
            <w:tcW w:type="dxa" w:w="831"/>
          </w:tcPr>
          <w:p>
            <w:pPr>
              <w:pStyle w:val="null3"/>
              <w:jc w:val="right"/>
            </w:pPr>
            <w:r>
              <w:rPr/>
              <w:t>42.00</w:t>
            </w:r>
          </w:p>
        </w:tc>
        <w:tc>
          <w:tcPr>
            <w:tcW w:type="dxa" w:w="4153"/>
          </w:tcPr>
          <w:p>
            <w:pPr>
              <w:pStyle w:val="null3"/>
              <w:jc w:val="left"/>
            </w:pPr>
            <w:r>
              <w:rPr/>
              <w:t>根据供应商对采购内容及要求中“二、技术要求”的逐项响应情况由磋商小组进行评议，完全满足的得42分，技术参数每负偏离一项扣3分（共计14项），扣完为止，正偏离不加分。</w:t>
            </w:r>
          </w:p>
        </w:tc>
      </w:tr>
      <w:tr>
        <w:tc>
          <w:tcPr>
            <w:tcW w:type="dxa" w:w="3322"/>
          </w:tcPr>
          <w:p>
            <w:pPr>
              <w:pStyle w:val="null3"/>
              <w:jc w:val="left"/>
            </w:pPr>
            <w:r>
              <w:rPr/>
              <w:t>需求理解情况</w:t>
            </w:r>
          </w:p>
        </w:tc>
        <w:tc>
          <w:tcPr>
            <w:tcW w:type="dxa" w:w="831"/>
          </w:tcPr>
          <w:p>
            <w:pPr>
              <w:pStyle w:val="null3"/>
              <w:jc w:val="right"/>
            </w:pPr>
            <w:r>
              <w:rPr/>
              <w:t>2.00</w:t>
            </w:r>
          </w:p>
        </w:tc>
        <w:tc>
          <w:tcPr>
            <w:tcW w:type="dxa" w:w="4153"/>
          </w:tcPr>
          <w:p>
            <w:pPr>
              <w:pStyle w:val="null3"/>
              <w:jc w:val="left"/>
            </w:pPr>
            <w:r>
              <w:rPr/>
              <w:t>根据供应商对此项需求理解情况评分：①对此项需求理解充分，能准确满足用户的要求的得2分；②对此项需求理解较为充分，能较准确地满足用户的要求的得1.5分；③对此项需求理解一般，基本体现用户需求的得1分；④没有描述或描述明显不符合项目服务要求的，本项不得分。</w:t>
            </w:r>
          </w:p>
        </w:tc>
      </w:tr>
      <w:tr>
        <w:tc>
          <w:tcPr>
            <w:tcW w:type="dxa" w:w="3322"/>
          </w:tcPr>
          <w:p>
            <w:pPr>
              <w:pStyle w:val="null3"/>
              <w:jc w:val="left"/>
            </w:pPr>
            <w:r>
              <w:rPr/>
              <w:t>日常维护方案</w:t>
            </w:r>
          </w:p>
        </w:tc>
        <w:tc>
          <w:tcPr>
            <w:tcW w:type="dxa" w:w="831"/>
          </w:tcPr>
          <w:p>
            <w:pPr>
              <w:pStyle w:val="null3"/>
              <w:jc w:val="right"/>
            </w:pPr>
            <w:r>
              <w:rPr/>
              <w:t>3.00</w:t>
            </w:r>
          </w:p>
        </w:tc>
        <w:tc>
          <w:tcPr>
            <w:tcW w:type="dxa" w:w="4153"/>
          </w:tcPr>
          <w:p>
            <w:pPr>
              <w:pStyle w:val="null3"/>
              <w:jc w:val="left"/>
            </w:pPr>
            <w:r>
              <w:rPr/>
              <w:t>根据供应商针对本项目制定的日常维护方案，包括系统进程、系统权限、系统资源等方面设定维护项，由磋商小组进行评议：方案内容能够完整、清晰阐述项目实施基础方案内容同时在确保方案实施的基础上增加有利于项目执行内容的得3分；方案能够内容完整、清晰的阐述了基本要求且符合项目实际操作的得2分；有提供方案，但阐述内容未完整响应基本要求的得1分；未提供或方案与项目不符的不得分。</w:t>
            </w:r>
          </w:p>
        </w:tc>
      </w:tr>
      <w:tr>
        <w:tc>
          <w:tcPr>
            <w:tcW w:type="dxa" w:w="3322"/>
          </w:tcPr>
          <w:p>
            <w:pPr>
              <w:pStyle w:val="null3"/>
              <w:jc w:val="left"/>
            </w:pPr>
            <w:r>
              <w:rPr/>
              <w:t>运维管理以及漏洞修复</w:t>
            </w:r>
          </w:p>
        </w:tc>
        <w:tc>
          <w:tcPr>
            <w:tcW w:type="dxa" w:w="831"/>
          </w:tcPr>
          <w:p>
            <w:pPr>
              <w:pStyle w:val="null3"/>
              <w:jc w:val="right"/>
            </w:pPr>
            <w:r>
              <w:rPr/>
              <w:t>3.00</w:t>
            </w:r>
          </w:p>
        </w:tc>
        <w:tc>
          <w:tcPr>
            <w:tcW w:type="dxa" w:w="4153"/>
          </w:tcPr>
          <w:p>
            <w:pPr>
              <w:pStyle w:val="null3"/>
              <w:jc w:val="left"/>
            </w:pPr>
            <w:r>
              <w:rPr/>
              <w:t>根据供应商对福建省林业网上行政审批系统的服务器、操作系统、中间件、基础软件的运维管理以及漏洞修复作出说明，由磋商小组进行评议：方案内容能够完整、清晰阐述项目实施基础方案内容同时在确保方案实施的基础上增加有利于项目执行内容的得3分；方案能够内容完整、清晰的阐述了基本要求且符合项目实际操作的得2分；有提供方案，但阐述内容未完整响应基本要求的得1分；未提供或方案与项目不符的不得分。</w:t>
            </w:r>
          </w:p>
        </w:tc>
      </w:tr>
      <w:tr>
        <w:tc>
          <w:tcPr>
            <w:tcW w:type="dxa" w:w="3322"/>
          </w:tcPr>
          <w:p>
            <w:pPr>
              <w:pStyle w:val="null3"/>
              <w:jc w:val="left"/>
            </w:pPr>
            <w:r>
              <w:rPr/>
              <w:t>运维响应方案</w:t>
            </w:r>
          </w:p>
        </w:tc>
        <w:tc>
          <w:tcPr>
            <w:tcW w:type="dxa" w:w="831"/>
          </w:tcPr>
          <w:p>
            <w:pPr>
              <w:pStyle w:val="null3"/>
              <w:jc w:val="right"/>
            </w:pPr>
            <w:r>
              <w:rPr/>
              <w:t>3.00</w:t>
            </w:r>
          </w:p>
        </w:tc>
        <w:tc>
          <w:tcPr>
            <w:tcW w:type="dxa" w:w="4153"/>
          </w:tcPr>
          <w:p>
            <w:pPr>
              <w:pStyle w:val="null3"/>
              <w:jc w:val="left"/>
            </w:pPr>
            <w:r>
              <w:rPr/>
              <w:t>根据供应商针对本项目提供的运维响应方案，由磋商小组进行评议：方案内容能够完整、清晰阐述项目运维响应方案内容同时在确保方案实施的基础上增加有利于项目执行内容的得3分；方案能够内容完整、清晰的阐述了基本要求且符合项目实际操作的得2分；有提供方案，但阐述内容未完整响应基本要求的得1分；未提供或方案与项目不符的不得分</w:t>
            </w:r>
          </w:p>
        </w:tc>
      </w:tr>
      <w:tr>
        <w:tc>
          <w:tcPr>
            <w:tcW w:type="dxa" w:w="3322"/>
          </w:tcPr>
          <w:p>
            <w:pPr>
              <w:pStyle w:val="null3"/>
              <w:jc w:val="left"/>
            </w:pPr>
            <w:r>
              <w:rPr/>
              <w:t>系统安全性方案</w:t>
            </w:r>
          </w:p>
        </w:tc>
        <w:tc>
          <w:tcPr>
            <w:tcW w:type="dxa" w:w="831"/>
          </w:tcPr>
          <w:p>
            <w:pPr>
              <w:pStyle w:val="null3"/>
              <w:jc w:val="right"/>
            </w:pPr>
            <w:r>
              <w:rPr/>
              <w:t>3.00</w:t>
            </w:r>
          </w:p>
        </w:tc>
        <w:tc>
          <w:tcPr>
            <w:tcW w:type="dxa" w:w="4153"/>
          </w:tcPr>
          <w:p>
            <w:pPr>
              <w:pStyle w:val="null3"/>
              <w:jc w:val="left"/>
            </w:pPr>
            <w:r>
              <w:rPr/>
              <w:t>根据供应商针对本项目提供的系统安全性方案，由磋商小组进行评议：方案内容能够完整、清晰阐述项目系统安全性方案内容同时在确保方案实施的基础上增加有利于项目执行内容的得3分；方案能够内容完整、清晰的阐述了基本要求且符合项目实际操作的得2分；有提供方案，但阐述内容未完整响应基本要求的得1分；未提供或方案与项目不符的不得分。</w:t>
            </w:r>
          </w:p>
        </w:tc>
      </w:tr>
      <w:tr>
        <w:tc>
          <w:tcPr>
            <w:tcW w:type="dxa" w:w="3322"/>
          </w:tcPr>
          <w:p>
            <w:pPr>
              <w:pStyle w:val="null3"/>
              <w:jc w:val="left"/>
            </w:pPr>
            <w:r>
              <w:rPr/>
              <w:t>质量保证措施方案</w:t>
            </w:r>
          </w:p>
        </w:tc>
        <w:tc>
          <w:tcPr>
            <w:tcW w:type="dxa" w:w="831"/>
          </w:tcPr>
          <w:p>
            <w:pPr>
              <w:pStyle w:val="null3"/>
              <w:jc w:val="right"/>
            </w:pPr>
            <w:r>
              <w:rPr/>
              <w:t>3.00</w:t>
            </w:r>
          </w:p>
        </w:tc>
        <w:tc>
          <w:tcPr>
            <w:tcW w:type="dxa" w:w="4153"/>
          </w:tcPr>
          <w:p>
            <w:pPr>
              <w:pStyle w:val="null3"/>
              <w:jc w:val="left"/>
            </w:pPr>
            <w:r>
              <w:rPr/>
              <w:t>根据供应商针对本项目提供的质量保证措施方案（包括质量保证、承诺在后续合作中配合采购人提出的合理要求），由磋商小组进行评议：方案内容能够完整、清晰阐述项目质量保证措施方案内容同时在确保方案实施的基础上增加有利于项目执行内容的得3分；方案能够内容完整、清晰的阐述了基本要求且符合项目实际操作的得2分；有提供方案，但阐述内容未完整响应基本要求的得1分；未提供或方案与项目不符的不得分。</w:t>
            </w:r>
          </w:p>
        </w:tc>
      </w:tr>
      <w:tr>
        <w:tc>
          <w:tcPr>
            <w:tcW w:type="dxa" w:w="3322"/>
          </w:tcPr>
          <w:p>
            <w:pPr>
              <w:pStyle w:val="null3"/>
              <w:jc w:val="left"/>
            </w:pPr>
            <w:r>
              <w:rPr/>
              <w:t>突发应急保障方案</w:t>
            </w:r>
          </w:p>
        </w:tc>
        <w:tc>
          <w:tcPr>
            <w:tcW w:type="dxa" w:w="831"/>
          </w:tcPr>
          <w:p>
            <w:pPr>
              <w:pStyle w:val="null3"/>
              <w:jc w:val="right"/>
            </w:pPr>
            <w:r>
              <w:rPr/>
              <w:t>3.00</w:t>
            </w:r>
          </w:p>
        </w:tc>
        <w:tc>
          <w:tcPr>
            <w:tcW w:type="dxa" w:w="4153"/>
          </w:tcPr>
          <w:p>
            <w:pPr>
              <w:pStyle w:val="null3"/>
              <w:jc w:val="left"/>
            </w:pPr>
            <w:r>
              <w:rPr/>
              <w:t>根据供应商针对本项目提供的突发应急任务处理（包括突发保障任务、突发问题的应急保障和处理方案），由磋商小组进行评议：方案内容能够完整、清晰阐述项目突发应急保障方案内容同时在确保方案实施的基础上增加有利于项目执行内容的得2分；方案能够内容完整、清晰的阐述了基本要求且符合项目实际操作的得1分；有提供方案，但阐述内容未完整响应基本要求的得0.5分；未提供或方案与项目不符的不得分。</w:t>
            </w:r>
          </w:p>
        </w:tc>
      </w:tr>
    </w:tbl>
    <w:p>
      <w:pPr>
        <w:pStyle w:val="null3"/>
        <w:jc w:val="left"/>
      </w:pPr>
      <w:r>
        <w:rPr/>
        <w:t>商务部分评分PB 满分为18.00分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质量管理体系认证</w:t>
            </w:r>
          </w:p>
        </w:tc>
        <w:tc>
          <w:tcPr>
            <w:tcW w:type="dxa" w:w="831"/>
          </w:tcPr>
          <w:p>
            <w:pPr>
              <w:pStyle w:val="null3"/>
              <w:jc w:val="right"/>
            </w:pPr>
            <w:r>
              <w:rPr/>
              <w:t>1.00</w:t>
            </w:r>
          </w:p>
        </w:tc>
        <w:tc>
          <w:tcPr>
            <w:tcW w:type="dxa" w:w="4153"/>
          </w:tcPr>
          <w:p>
            <w:pPr>
              <w:pStyle w:val="null3"/>
              <w:jc w:val="left"/>
            </w:pPr>
            <w:r>
              <w:rPr/>
              <w:t>供应商具备有效期内质量管理体系认证证书得1分，须提供证明材料并加盖供应商公章，否则不得分。</w:t>
            </w:r>
          </w:p>
        </w:tc>
      </w:tr>
      <w:tr>
        <w:tc>
          <w:tcPr>
            <w:tcW w:type="dxa" w:w="3322"/>
          </w:tcPr>
          <w:p>
            <w:pPr>
              <w:pStyle w:val="null3"/>
              <w:jc w:val="left"/>
            </w:pPr>
            <w:r>
              <w:rPr/>
              <w:t>信息技术服务管理体系认证</w:t>
            </w:r>
          </w:p>
        </w:tc>
        <w:tc>
          <w:tcPr>
            <w:tcW w:type="dxa" w:w="831"/>
          </w:tcPr>
          <w:p>
            <w:pPr>
              <w:pStyle w:val="null3"/>
              <w:jc w:val="right"/>
            </w:pPr>
            <w:r>
              <w:rPr/>
              <w:t>1.00</w:t>
            </w:r>
          </w:p>
        </w:tc>
        <w:tc>
          <w:tcPr>
            <w:tcW w:type="dxa" w:w="4153"/>
          </w:tcPr>
          <w:p>
            <w:pPr>
              <w:pStyle w:val="null3"/>
              <w:jc w:val="left"/>
            </w:pPr>
            <w:r>
              <w:rPr/>
              <w:t>供应商具备有效期内信息技术服务管理体系认证证书得1分，须提供证明材料并加盖供应商公章，否则不得分。</w:t>
            </w:r>
          </w:p>
        </w:tc>
      </w:tr>
      <w:tr>
        <w:tc>
          <w:tcPr>
            <w:tcW w:type="dxa" w:w="3322"/>
          </w:tcPr>
          <w:p>
            <w:pPr>
              <w:pStyle w:val="null3"/>
              <w:jc w:val="left"/>
            </w:pPr>
            <w:r>
              <w:rPr/>
              <w:t>信息安全管理体系认证</w:t>
            </w:r>
          </w:p>
        </w:tc>
        <w:tc>
          <w:tcPr>
            <w:tcW w:type="dxa" w:w="831"/>
          </w:tcPr>
          <w:p>
            <w:pPr>
              <w:pStyle w:val="null3"/>
              <w:jc w:val="right"/>
            </w:pPr>
            <w:r>
              <w:rPr/>
              <w:t>1.00</w:t>
            </w:r>
          </w:p>
        </w:tc>
        <w:tc>
          <w:tcPr>
            <w:tcW w:type="dxa" w:w="4153"/>
          </w:tcPr>
          <w:p>
            <w:pPr>
              <w:pStyle w:val="null3"/>
              <w:jc w:val="left"/>
            </w:pPr>
            <w:r>
              <w:rPr/>
              <w:t>供应商具备有效期内信息安全管理体系认证证书得1分，须提供证明材料并加盖供应商公章，否则不得分。</w:t>
            </w:r>
          </w:p>
        </w:tc>
      </w:tr>
      <w:tr>
        <w:tc>
          <w:tcPr>
            <w:tcW w:type="dxa" w:w="3322"/>
          </w:tcPr>
          <w:p>
            <w:pPr>
              <w:pStyle w:val="null3"/>
              <w:jc w:val="left"/>
            </w:pPr>
            <w:r>
              <w:rPr/>
              <w:t>ITSS运维服务</w:t>
            </w:r>
          </w:p>
        </w:tc>
        <w:tc>
          <w:tcPr>
            <w:tcW w:type="dxa" w:w="831"/>
          </w:tcPr>
          <w:p>
            <w:pPr>
              <w:pStyle w:val="null3"/>
              <w:jc w:val="right"/>
            </w:pPr>
            <w:r>
              <w:rPr/>
              <w:t>1.00</w:t>
            </w:r>
          </w:p>
        </w:tc>
        <w:tc>
          <w:tcPr>
            <w:tcW w:type="dxa" w:w="4153"/>
          </w:tcPr>
          <w:p>
            <w:pPr>
              <w:pStyle w:val="null3"/>
              <w:jc w:val="left"/>
            </w:pPr>
            <w:r>
              <w:rPr/>
              <w:t>供应商具有有效期内ITSS运维服务三级或以上资质的得1分，须提供证明材料并加盖供应商公章，否则不得分。</w:t>
            </w:r>
          </w:p>
        </w:tc>
      </w:tr>
      <w:tr>
        <w:tc>
          <w:tcPr>
            <w:tcW w:type="dxa" w:w="3322"/>
          </w:tcPr>
          <w:p>
            <w:pPr>
              <w:pStyle w:val="null3"/>
              <w:jc w:val="left"/>
            </w:pPr>
            <w:r>
              <w:rPr/>
              <w:t>运维经验</w:t>
            </w:r>
          </w:p>
        </w:tc>
        <w:tc>
          <w:tcPr>
            <w:tcW w:type="dxa" w:w="831"/>
          </w:tcPr>
          <w:p>
            <w:pPr>
              <w:pStyle w:val="null3"/>
              <w:jc w:val="right"/>
            </w:pPr>
            <w:r>
              <w:rPr/>
              <w:t>3.00</w:t>
            </w:r>
          </w:p>
        </w:tc>
        <w:tc>
          <w:tcPr>
            <w:tcW w:type="dxa" w:w="4153"/>
          </w:tcPr>
          <w:p>
            <w:pPr>
              <w:pStyle w:val="null3"/>
              <w:jc w:val="left"/>
            </w:pPr>
            <w:r>
              <w:rPr/>
              <w:t>根据供应商提供2021年1月1日至今（以合同签订时间为准）类似项目运维经验情况评分：每提供一份证明文件得1分，满分3分。证明文件须提供合同首页、合同内容页、合同金额所在页、签字盖章页复印件作为证明。</w:t>
            </w:r>
          </w:p>
        </w:tc>
      </w:tr>
      <w:tr>
        <w:tc>
          <w:tcPr>
            <w:tcW w:type="dxa" w:w="3322"/>
          </w:tcPr>
          <w:p>
            <w:pPr>
              <w:pStyle w:val="null3"/>
              <w:jc w:val="left"/>
            </w:pPr>
            <w:r>
              <w:rPr/>
              <w:t>团队人员配置</w:t>
            </w:r>
          </w:p>
        </w:tc>
        <w:tc>
          <w:tcPr>
            <w:tcW w:type="dxa" w:w="831"/>
          </w:tcPr>
          <w:p>
            <w:pPr>
              <w:pStyle w:val="null3"/>
              <w:jc w:val="right"/>
            </w:pPr>
            <w:r>
              <w:rPr/>
              <w:t>3.00</w:t>
            </w:r>
          </w:p>
        </w:tc>
        <w:tc>
          <w:tcPr>
            <w:tcW w:type="dxa" w:w="4153"/>
          </w:tcPr>
          <w:p>
            <w:pPr>
              <w:pStyle w:val="null3"/>
              <w:jc w:val="left"/>
            </w:pPr>
            <w:r>
              <w:rPr/>
              <w:t>运维团队成员中同时具有高级信息系统项目管理师证书、CISP信息安全工程师证书的，每提供1人得1分，满分3分。需提供证书复印件，否则不得分。</w:t>
            </w:r>
          </w:p>
        </w:tc>
      </w:tr>
      <w:tr>
        <w:tc>
          <w:tcPr>
            <w:tcW w:type="dxa" w:w="3322"/>
          </w:tcPr>
          <w:p>
            <w:pPr>
              <w:pStyle w:val="null3"/>
              <w:jc w:val="left"/>
            </w:pPr>
            <w:r>
              <w:rPr/>
              <w:t>售后服务</w:t>
            </w:r>
          </w:p>
        </w:tc>
        <w:tc>
          <w:tcPr>
            <w:tcW w:type="dxa" w:w="831"/>
          </w:tcPr>
          <w:p>
            <w:pPr>
              <w:pStyle w:val="null3"/>
              <w:jc w:val="right"/>
            </w:pPr>
            <w:r>
              <w:rPr/>
              <w:t>3.00</w:t>
            </w:r>
          </w:p>
        </w:tc>
        <w:tc>
          <w:tcPr>
            <w:tcW w:type="dxa" w:w="4153"/>
          </w:tcPr>
          <w:p>
            <w:pPr>
              <w:pStyle w:val="null3"/>
              <w:jc w:val="left"/>
            </w:pPr>
            <w:r>
              <w:rPr/>
              <w:t>根据供应商在接到采购人通知后能在1小时以内提供现场服务的得3分，1.5小时以内的得2分，2小时以内的得1分，其余不得分。注：提供相关承诺函（格式自拟）。</w:t>
            </w:r>
          </w:p>
        </w:tc>
      </w:tr>
      <w:tr>
        <w:tc>
          <w:tcPr>
            <w:tcW w:type="dxa" w:w="3322"/>
          </w:tcPr>
          <w:p>
            <w:pPr>
              <w:pStyle w:val="null3"/>
              <w:jc w:val="left"/>
            </w:pPr>
            <w:r>
              <w:rPr/>
              <w:t>技术培训</w:t>
            </w:r>
          </w:p>
        </w:tc>
        <w:tc>
          <w:tcPr>
            <w:tcW w:type="dxa" w:w="831"/>
          </w:tcPr>
          <w:p>
            <w:pPr>
              <w:pStyle w:val="null3"/>
              <w:jc w:val="right"/>
            </w:pPr>
            <w:r>
              <w:rPr/>
              <w:t>3.00</w:t>
            </w:r>
          </w:p>
        </w:tc>
        <w:tc>
          <w:tcPr>
            <w:tcW w:type="dxa" w:w="4153"/>
          </w:tcPr>
          <w:p>
            <w:pPr>
              <w:pStyle w:val="null3"/>
              <w:jc w:val="left"/>
            </w:pPr>
            <w:r>
              <w:rPr/>
              <w:t>根据供应商提供培训方案，包括培训时间、培训地点、培训方式、培训内容等，由评委进行评议并打分：方案内容能够完整、清晰阐述项目培训方案内容的得3分；有提供方案，但阐述内容未完整响应基本要求的得1.5分；未提供或方案与项目不符的不得分。</w:t>
            </w:r>
          </w:p>
        </w:tc>
      </w:tr>
      <w:tr>
        <w:tc>
          <w:tcPr>
            <w:tcW w:type="dxa" w:w="3322"/>
          </w:tcPr>
          <w:p>
            <w:pPr>
              <w:pStyle w:val="null3"/>
              <w:jc w:val="left"/>
            </w:pPr>
            <w:r>
              <w:rPr/>
              <w:t>保密承诺函</w:t>
            </w:r>
          </w:p>
        </w:tc>
        <w:tc>
          <w:tcPr>
            <w:tcW w:type="dxa" w:w="831"/>
          </w:tcPr>
          <w:p>
            <w:pPr>
              <w:pStyle w:val="null3"/>
              <w:jc w:val="right"/>
            </w:pPr>
            <w:r>
              <w:rPr/>
              <w:t>2.00</w:t>
            </w:r>
          </w:p>
        </w:tc>
        <w:tc>
          <w:tcPr>
            <w:tcW w:type="dxa" w:w="4153"/>
          </w:tcPr>
          <w:p>
            <w:pPr>
              <w:pStyle w:val="null3"/>
              <w:jc w:val="left"/>
            </w:pPr>
            <w:r>
              <w:rPr/>
              <w:t>供应商对拟投入本项目的人员提供安全保密承诺：在服务过程中服务人员应签署保密承诺函，并将对服务过程中涉及的材料进行保密，如因服务人员违反保密规定造成数据被窃取、泄露等安全事件，供应商应承担相应的法律责任，招标人保留解除合同权利。提供承诺函（格式自拟）的得2分，否则不得分。</w:t>
            </w:r>
          </w:p>
        </w:tc>
      </w:tr>
    </w:tbl>
    <w:p>
      <w:pPr>
        <w:pStyle w:val="null3"/>
        <w:jc w:val="left"/>
      </w:pPr>
      <w:r>
        <w:rPr/>
        <w:t>根据政府采购政策可享有的加分优惠评分PE</w:t>
      </w:r>
    </w:p>
    <w:p>
      <w:pPr>
        <w:pStyle w:val="null3"/>
        <w:jc w:val="left"/>
      </w:pPr>
      <w:r>
        <w:rPr/>
        <w:t>优先类节能产品、环境标志产品：无</w:t>
      </w:r>
    </w:p>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详见”一、竞争性磋商须知前附表1“中项号9内容。</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响应文件未按照磋商文件规定要求签署、盖章的；</w:t>
            </w:r>
          </w:p>
        </w:tc>
      </w:tr>
      <w:tr>
        <w:tc>
          <w:tcPr>
            <w:tcW w:type="dxa" w:w="4153"/>
          </w:tcPr>
          <w:p>
            <w:pPr>
              <w:pStyle w:val="null3"/>
              <w:jc w:val="left"/>
            </w:pPr>
            <w:r>
              <w:rPr/>
              <w:t>其他情形</w:t>
            </w:r>
          </w:p>
        </w:tc>
        <w:tc>
          <w:tcPr>
            <w:tcW w:type="dxa" w:w="4153"/>
          </w:tcPr>
          <w:p>
            <w:pPr>
              <w:pStyle w:val="null3"/>
              <w:jc w:val="left"/>
            </w:pPr>
            <w:r>
              <w:rPr/>
              <w:t>响应文件属于磋商文件规定磋商小组应否决其投标的情形；</w:t>
            </w:r>
          </w:p>
        </w:tc>
      </w:tr>
      <w:tr>
        <w:tc>
          <w:tcPr>
            <w:tcW w:type="dxa" w:w="4153"/>
          </w:tcPr>
          <w:p>
            <w:pPr>
              <w:pStyle w:val="null3"/>
              <w:jc w:val="left"/>
            </w:pPr>
            <w:r>
              <w:rPr/>
              <w:t>其他情形</w:t>
            </w:r>
          </w:p>
        </w:tc>
        <w:tc>
          <w:tcPr>
            <w:tcW w:type="dxa" w:w="4153"/>
          </w:tcPr>
          <w:p>
            <w:pPr>
              <w:pStyle w:val="null3"/>
              <w:jc w:val="left"/>
            </w:pPr>
            <w:r>
              <w:rPr/>
              <w:t>不符合磋商文件中规定的实质性要求和条件的；</w:t>
            </w:r>
          </w:p>
        </w:tc>
      </w:tr>
      <w:tr>
        <w:tc>
          <w:tcPr>
            <w:tcW w:type="dxa" w:w="4153"/>
          </w:tcPr>
          <w:p>
            <w:pPr>
              <w:pStyle w:val="null3"/>
              <w:jc w:val="left"/>
            </w:pPr>
            <w:r>
              <w:rPr/>
              <w:t>其他情形</w:t>
            </w:r>
          </w:p>
        </w:tc>
        <w:tc>
          <w:tcPr>
            <w:tcW w:type="dxa" w:w="4153"/>
          </w:tcPr>
          <w:p>
            <w:pPr>
              <w:pStyle w:val="null3"/>
              <w:jc w:val="left"/>
            </w:pPr>
            <w:r>
              <w:rPr/>
              <w:t>第三章 采购内容及要求中“二、技术要求”的内容均为不允许负偏离的实质性要求（均为本项目基本要求），若有负偏离的按无效报价处理。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响应文件未按照磋商文件规定要求签署、盖章的；</w:t>
            </w:r>
          </w:p>
        </w:tc>
      </w:tr>
      <w:tr>
        <w:tc>
          <w:tcPr>
            <w:tcW w:type="dxa" w:w="4153"/>
          </w:tcPr>
          <w:p>
            <w:pPr>
              <w:pStyle w:val="null3"/>
              <w:jc w:val="left"/>
            </w:pPr>
            <w:r>
              <w:rPr/>
              <w:t>其他情形</w:t>
            </w:r>
          </w:p>
        </w:tc>
        <w:tc>
          <w:tcPr>
            <w:tcW w:type="dxa" w:w="4153"/>
          </w:tcPr>
          <w:p>
            <w:pPr>
              <w:pStyle w:val="null3"/>
              <w:jc w:val="left"/>
            </w:pPr>
            <w:r>
              <w:rPr/>
              <w:t>磋商文件第三章“三、商务条件”中内容属于实质性要求，出现负偏离的，按无效处理。</w:t>
            </w:r>
          </w:p>
        </w:tc>
      </w:tr>
    </w:tbl>
    <w:p>
      <w:pPr>
        <w:pStyle w:val="null3"/>
        <w:jc w:val="left"/>
      </w:pPr>
      <w:r>
        <w:rPr/>
        <w:t>附加符合性：无</w:t>
      </w:r>
    </w:p>
    <w:p>
      <w:pPr>
        <w:pStyle w:val="null3"/>
        <w:jc w:val="left"/>
      </w:pPr>
      <w:r>
        <w:rPr/>
        <w:t>价格符合性：无</w:t>
      </w:r>
    </w:p>
    <w:p>
      <w:pPr>
        <w:pStyle w:val="null3"/>
        <w:jc w:val="left"/>
      </w:pPr>
      <w:r>
        <w:rPr/>
        <w:t>采购包2：</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响应文件未按照磋商文件规定要求签署、盖章的；</w:t>
            </w:r>
          </w:p>
        </w:tc>
      </w:tr>
      <w:tr>
        <w:tc>
          <w:tcPr>
            <w:tcW w:type="dxa" w:w="4153"/>
          </w:tcPr>
          <w:p>
            <w:pPr>
              <w:pStyle w:val="null3"/>
              <w:jc w:val="left"/>
            </w:pPr>
            <w:r>
              <w:rPr/>
              <w:t>其他情形</w:t>
            </w:r>
          </w:p>
        </w:tc>
        <w:tc>
          <w:tcPr>
            <w:tcW w:type="dxa" w:w="4153"/>
          </w:tcPr>
          <w:p>
            <w:pPr>
              <w:pStyle w:val="null3"/>
              <w:jc w:val="left"/>
            </w:pPr>
            <w:r>
              <w:rPr/>
              <w:t>响应文件属于磋商文件规定磋商小组应否决其投标的情形；</w:t>
            </w:r>
          </w:p>
        </w:tc>
      </w:tr>
      <w:tr>
        <w:tc>
          <w:tcPr>
            <w:tcW w:type="dxa" w:w="4153"/>
          </w:tcPr>
          <w:p>
            <w:pPr>
              <w:pStyle w:val="null3"/>
              <w:jc w:val="left"/>
            </w:pPr>
            <w:r>
              <w:rPr/>
              <w:t>其他情形</w:t>
            </w:r>
          </w:p>
        </w:tc>
        <w:tc>
          <w:tcPr>
            <w:tcW w:type="dxa" w:w="4153"/>
          </w:tcPr>
          <w:p>
            <w:pPr>
              <w:pStyle w:val="null3"/>
              <w:jc w:val="left"/>
            </w:pPr>
            <w:r>
              <w:rPr/>
              <w:t>不符合磋商文件中规定的实质性要求和条件的；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响应文件未按照磋商文件规定要求签署、盖章的；</w:t>
            </w:r>
          </w:p>
        </w:tc>
      </w:tr>
      <w:tr>
        <w:tc>
          <w:tcPr>
            <w:tcW w:type="dxa" w:w="4153"/>
          </w:tcPr>
          <w:p>
            <w:pPr>
              <w:pStyle w:val="null3"/>
              <w:jc w:val="left"/>
            </w:pPr>
            <w:r>
              <w:rPr/>
              <w:t>其他情形</w:t>
            </w:r>
          </w:p>
        </w:tc>
        <w:tc>
          <w:tcPr>
            <w:tcW w:type="dxa" w:w="4153"/>
          </w:tcPr>
          <w:p>
            <w:pPr>
              <w:pStyle w:val="null3"/>
              <w:jc w:val="left"/>
            </w:pPr>
            <w:r>
              <w:rPr/>
              <w:t>磋商文件第三章“三、商务条件”中内容属于实质性要求，出现负偏离的，按无效处理。</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r>
        <w:rPr>
          <w:rFonts w:ascii="宋体" w:hAnsi="宋体" w:cs="宋体" w:eastAsia="宋体"/>
          <w:sz w:val="24"/>
          <w:shd w:fill="FFFFFF" w:val="clear"/>
        </w:rPr>
        <w:t>本项目为</w:t>
      </w:r>
      <w:r>
        <w:rPr>
          <w:rFonts w:ascii="宋体" w:hAnsi="宋体" w:cs="宋体" w:eastAsia="宋体"/>
          <w:sz w:val="24"/>
          <w:shd w:fill="FFFFFF" w:val="clear"/>
        </w:rPr>
        <w:t>2024年福建省林业网上行政审批系统运行维护项目，供应商根据磋商文件的要求，提供在本项目规定的范围内的产品和软件开发、安装部署、验收、培训以及其它相应的技术服务，并负责本项目相应伴随工作、服务及服务成果资料。</w:t>
      </w:r>
    </w:p>
    <w:p>
      <w:pPr>
        <w:pStyle w:val="null3"/>
        <w:spacing w:before="105" w:after="105"/>
        <w:ind w:firstLine="482"/>
        <w:jc w:val="both"/>
      </w:pPr>
      <w:r>
        <w:rPr>
          <w:rFonts w:ascii="宋体" w:hAnsi="宋体" w:cs="宋体" w:eastAsia="宋体"/>
          <w:b/>
          <w:sz w:val="24"/>
          <w:shd w:fill="FFFFFF" w:val="clear"/>
        </w:rPr>
        <w:t>采购包</w:t>
      </w:r>
      <w:r>
        <w:rPr>
          <w:rFonts w:ascii="宋体" w:hAnsi="宋体" w:cs="宋体" w:eastAsia="宋体"/>
          <w:b/>
          <w:sz w:val="24"/>
          <w:shd w:fill="FFFFFF" w:val="clear"/>
        </w:rPr>
        <w:t>1：</w:t>
      </w:r>
      <w:r>
        <w:rPr>
          <w:rFonts w:ascii="宋体" w:hAnsi="宋体" w:cs="宋体" w:eastAsia="宋体"/>
          <w:sz w:val="24"/>
          <w:shd w:fill="FFFFFF" w:val="clear"/>
        </w:rPr>
        <w:t>福建省林业网上行政审批系统功能完善，预算金额</w:t>
      </w:r>
      <w:r>
        <w:rPr>
          <w:rFonts w:ascii="宋体" w:hAnsi="宋体" w:cs="宋体" w:eastAsia="宋体"/>
          <w:sz w:val="24"/>
          <w:shd w:fill="FFFFFF" w:val="clear"/>
        </w:rPr>
        <w:t>480000.00元。</w:t>
      </w:r>
    </w:p>
    <w:p>
      <w:pPr>
        <w:pStyle w:val="null3"/>
        <w:spacing w:before="105" w:after="105"/>
        <w:ind w:firstLine="482"/>
        <w:jc w:val="both"/>
      </w:pPr>
      <w:r>
        <w:rPr>
          <w:rFonts w:ascii="宋体" w:hAnsi="宋体" w:cs="宋体" w:eastAsia="宋体"/>
          <w:sz w:val="24"/>
          <w:shd w:fill="FFFFFF" w:val="clear"/>
        </w:rPr>
        <w:t>福建省林业网上行政审批系统功能完善建设内容包括林地、采伐审批监管；不动产数据采伐审批应用；统计表新增；国家林草种苗管理系统对接四部分内容。</w:t>
      </w:r>
    </w:p>
    <w:p>
      <w:pPr>
        <w:pStyle w:val="null3"/>
        <w:spacing w:before="105" w:after="105"/>
        <w:ind w:firstLine="482"/>
        <w:jc w:val="both"/>
      </w:pPr>
      <w:r>
        <w:rPr>
          <w:rFonts w:ascii="宋体" w:hAnsi="宋体" w:cs="宋体" w:eastAsia="宋体"/>
          <w:b/>
          <w:sz w:val="24"/>
          <w:shd w:fill="FFFFFF" w:val="clear"/>
        </w:rPr>
        <w:t>采购包</w:t>
      </w:r>
      <w:r>
        <w:rPr>
          <w:rFonts w:ascii="宋体" w:hAnsi="宋体" w:cs="宋体" w:eastAsia="宋体"/>
          <w:b/>
          <w:sz w:val="24"/>
          <w:shd w:fill="FFFFFF" w:val="clear"/>
        </w:rPr>
        <w:t>2：</w:t>
      </w:r>
      <w:r>
        <w:rPr>
          <w:rFonts w:ascii="宋体" w:hAnsi="宋体" w:cs="宋体" w:eastAsia="宋体"/>
          <w:sz w:val="24"/>
          <w:shd w:fill="FFFFFF" w:val="clear"/>
        </w:rPr>
        <w:t>2024年1-11月福建省林业网上行政审批系统运行维护项目，预算金额366000.00。</w:t>
      </w:r>
    </w:p>
    <w:p>
      <w:pPr>
        <w:pStyle w:val="null3"/>
        <w:spacing w:before="105" w:after="105"/>
        <w:ind w:firstLine="482"/>
        <w:jc w:val="both"/>
        <w:outlineLvl w:val="2"/>
      </w:pPr>
      <w:r>
        <w:rPr>
          <w:b/>
          <w:sz w:val="28"/>
        </w:rPr>
        <w:t>二、技术要求</w:t>
      </w:r>
    </w:p>
    <w:p>
      <w:pPr>
        <w:pStyle w:val="null3"/>
        <w:jc w:val="left"/>
      </w:pPr>
      <w:r>
        <w:rPr>
          <w:rFonts w:ascii="宋体" w:hAnsi="宋体" w:cs="宋体" w:eastAsia="宋体"/>
          <w:b/>
          <w:sz w:val="24"/>
          <w:shd w:fill="FFFFFF" w:val="clear"/>
        </w:rPr>
        <w:t>采购包</w:t>
      </w:r>
      <w:r>
        <w:rPr>
          <w:rFonts w:ascii="宋体" w:hAnsi="宋体" w:cs="宋体" w:eastAsia="宋体"/>
          <w:b/>
          <w:sz w:val="24"/>
          <w:shd w:fill="FFFFFF" w:val="clear"/>
        </w:rPr>
        <w:t>1：福建省林业网上行政审批系统功能完善</w:t>
      </w:r>
    </w:p>
    <w:p>
      <w:pPr>
        <w:pStyle w:val="null3"/>
        <w:spacing w:before="105" w:after="105"/>
        <w:ind w:firstLine="480"/>
        <w:jc w:val="left"/>
      </w:pPr>
      <w:r>
        <w:rPr>
          <w:rFonts w:ascii="宋体" w:hAnsi="宋体" w:cs="宋体" w:eastAsia="宋体"/>
          <w:sz w:val="24"/>
          <w:shd w:fill="FFFFFF" w:val="clear"/>
        </w:rPr>
        <w:t>福建省林业网上行政审批系统功能完善功能技术要求：</w:t>
      </w:r>
    </w:p>
    <w:p>
      <w:pPr>
        <w:pStyle w:val="null3"/>
        <w:spacing w:before="105" w:after="105"/>
        <w:ind w:firstLine="482"/>
        <w:jc w:val="left"/>
      </w:pPr>
      <w:r>
        <w:rPr>
          <w:rFonts w:ascii="宋体" w:hAnsi="宋体" w:cs="宋体" w:eastAsia="宋体"/>
          <w:sz w:val="24"/>
          <w:shd w:fill="FFFFFF" w:val="clear"/>
        </w:rPr>
        <w:t>1、林地、采伐审批监管</w:t>
      </w:r>
    </w:p>
    <w:p>
      <w:pPr>
        <w:pStyle w:val="null3"/>
        <w:ind w:firstLine="480"/>
        <w:jc w:val="both"/>
      </w:pPr>
      <w:r>
        <w:rPr>
          <w:rFonts w:ascii="宋体" w:hAnsi="宋体" w:cs="宋体" w:eastAsia="宋体"/>
          <w:sz w:val="24"/>
          <w:shd w:fill="FFFFFF" w:val="clear"/>
        </w:rPr>
        <w:t>林地、采伐审批监管主要是针对福建省林业网上行政审批系统中的林地、林木采伐批准后，对已经批准的地块、林木进行监管的。</w:t>
      </w:r>
    </w:p>
    <w:p>
      <w:pPr>
        <w:pStyle w:val="null3"/>
        <w:ind w:firstLine="480"/>
        <w:jc w:val="both"/>
      </w:pPr>
      <w:r>
        <w:rPr>
          <w:rFonts w:ascii="宋体" w:hAnsi="宋体" w:cs="宋体" w:eastAsia="宋体"/>
          <w:sz w:val="24"/>
          <w:shd w:fill="FFFFFF" w:val="clear"/>
        </w:rPr>
        <w:t>林地审批监管包含对永久用地、临时用地、内部用地三种用地类型的已批项目进行监管。</w:t>
      </w:r>
    </w:p>
    <w:p>
      <w:pPr>
        <w:pStyle w:val="null3"/>
        <w:ind w:firstLine="480"/>
        <w:jc w:val="both"/>
      </w:pPr>
      <w:r>
        <w:rPr>
          <w:rFonts w:ascii="宋体" w:hAnsi="宋体" w:cs="宋体" w:eastAsia="宋体"/>
          <w:sz w:val="24"/>
          <w:shd w:fill="FFFFFF" w:val="clear"/>
        </w:rPr>
        <w:t>采伐审批监管包含对近一年所有林木采伐已批数据的监管。</w:t>
      </w:r>
    </w:p>
    <w:p>
      <w:pPr>
        <w:pStyle w:val="null3"/>
        <w:ind w:firstLine="480"/>
        <w:jc w:val="both"/>
      </w:pPr>
      <w:r>
        <w:rPr>
          <w:rFonts w:ascii="宋体" w:hAnsi="宋体" w:cs="宋体" w:eastAsia="宋体"/>
          <w:sz w:val="24"/>
          <w:shd w:fill="FFFFFF" w:val="clear"/>
        </w:rPr>
        <w:t>系统默认通过规则自动生成相应的待监管信息，也能通过人工直接发起监管操作。</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1）数据结构</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2）数据收集</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3）林地事项办结生成监管数据规则添加</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4）林地待监管数据提醒服务功能开发</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5）林地审批监管功能开发</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6）采伐审批监管功能开发</w:t>
      </w:r>
    </w:p>
    <w:p>
      <w:pPr>
        <w:pStyle w:val="null3"/>
        <w:spacing w:before="105" w:after="105"/>
        <w:ind w:firstLine="482"/>
        <w:jc w:val="left"/>
      </w:pPr>
      <w:r>
        <w:rPr>
          <w:rFonts w:ascii="宋体" w:hAnsi="宋体" w:cs="宋体" w:eastAsia="宋体"/>
          <w:sz w:val="24"/>
          <w:shd w:fill="FFFFFF" w:val="clear"/>
        </w:rPr>
        <w:t>2、不动产数据采伐审批应用</w:t>
      </w:r>
    </w:p>
    <w:p>
      <w:pPr>
        <w:pStyle w:val="null3"/>
        <w:ind w:firstLine="480"/>
        <w:jc w:val="left"/>
      </w:pPr>
      <w:r>
        <w:rPr>
          <w:rFonts w:ascii="宋体" w:hAnsi="宋体" w:cs="宋体" w:eastAsia="宋体"/>
          <w:sz w:val="24"/>
          <w:shd w:fill="FFFFFF" w:val="clear"/>
        </w:rPr>
        <w:t>不动产数据采伐审批应用主要是在进行林木采伐申请时能够根据申请人提供的不动产数据进行相应数据状态信息、矢量图斑位置的确认。通过不动产数据采伐审批应用的功能。具体可以分为以下五部分：</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1）协助林权不动产对接系统单位及人员初始化配置</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2）采伐申请调用林权不动产数据（属性调用）</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3）采伐申请调用林权不动产数据（矢量数据调用）</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4）林权不动产矢量数据电子地图展示</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5）林地不动产电子图层生成</w:t>
      </w:r>
    </w:p>
    <w:p>
      <w:pPr>
        <w:pStyle w:val="null3"/>
        <w:spacing w:before="105" w:after="105"/>
        <w:ind w:firstLine="482"/>
        <w:jc w:val="left"/>
      </w:pPr>
      <w:r>
        <w:rPr>
          <w:rFonts w:ascii="宋体" w:hAnsi="宋体" w:cs="宋体" w:eastAsia="宋体"/>
          <w:sz w:val="24"/>
          <w:shd w:fill="FFFFFF" w:val="clear"/>
        </w:rPr>
        <w:t>3、统计表新增</w:t>
      </w:r>
    </w:p>
    <w:p>
      <w:pPr>
        <w:pStyle w:val="null3"/>
        <w:ind w:firstLine="480"/>
        <w:jc w:val="both"/>
      </w:pPr>
      <w:r>
        <w:rPr>
          <w:rFonts w:ascii="宋体" w:hAnsi="宋体" w:cs="宋体" w:eastAsia="宋体"/>
          <w:sz w:val="24"/>
          <w:shd w:fill="FFFFFF" w:val="clear"/>
        </w:rPr>
        <w:t>（</w:t>
      </w:r>
      <w:r>
        <w:rPr>
          <w:rFonts w:ascii="宋体" w:hAnsi="宋体" w:cs="宋体" w:eastAsia="宋体"/>
          <w:sz w:val="24"/>
          <w:shd w:fill="FFFFFF" w:val="clear"/>
        </w:rPr>
        <w:t>1）统计表新增主要是按用户要求，根据设定的规则和条件，提供事项的相应统计表的功能。</w:t>
      </w:r>
    </w:p>
    <w:p>
      <w:pPr>
        <w:pStyle w:val="null3"/>
        <w:ind w:firstLine="480"/>
        <w:jc w:val="both"/>
      </w:pPr>
      <w:r>
        <w:rPr>
          <w:rFonts w:ascii="宋体" w:hAnsi="宋体" w:cs="宋体" w:eastAsia="宋体"/>
          <w:sz w:val="24"/>
          <w:shd w:fill="FFFFFF" w:val="clear"/>
        </w:rPr>
        <w:t>（</w:t>
      </w:r>
      <w:r>
        <w:rPr>
          <w:rFonts w:ascii="宋体" w:hAnsi="宋体" w:cs="宋体" w:eastAsia="宋体"/>
          <w:sz w:val="24"/>
          <w:shd w:fill="FFFFFF" w:val="clear"/>
        </w:rPr>
        <w:t>2）统计表提供导出到excel的功能。</w:t>
      </w:r>
    </w:p>
    <w:p>
      <w:pPr>
        <w:pStyle w:val="null3"/>
        <w:spacing w:before="105" w:after="105"/>
        <w:ind w:firstLine="482"/>
        <w:jc w:val="left"/>
      </w:pPr>
      <w:r>
        <w:rPr>
          <w:rFonts w:ascii="宋体" w:hAnsi="宋体" w:cs="宋体" w:eastAsia="宋体"/>
          <w:sz w:val="24"/>
          <w:shd w:fill="FFFFFF" w:val="clear"/>
        </w:rPr>
        <w:t>4、国家林草种苗管理系统对接</w:t>
      </w:r>
    </w:p>
    <w:p>
      <w:pPr>
        <w:pStyle w:val="null3"/>
        <w:ind w:firstLine="480"/>
        <w:jc w:val="both"/>
      </w:pPr>
      <w:r>
        <w:rPr>
          <w:rFonts w:ascii="宋体" w:hAnsi="宋体" w:cs="宋体" w:eastAsia="宋体"/>
          <w:sz w:val="24"/>
          <w:shd w:fill="FFFFFF" w:val="clear"/>
        </w:rPr>
        <w:t>福建省林业网上行政审批系统中省市县三级单位在进行林木种苗事项完成办理后，需要把颁发的林草种子生产经营许可证的相应信息，推送到国家林草种苗管理系统。</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1）数据筛选</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2）数据收集</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3）数据加工</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4）数据推送</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5）推送结果查询</w:t>
      </w:r>
    </w:p>
    <w:p>
      <w:pPr>
        <w:pStyle w:val="null3"/>
        <w:spacing w:before="105" w:after="105"/>
        <w:jc w:val="both"/>
      </w:pPr>
      <w:r>
        <w:rPr/>
        <w:t xml:space="preserve"> </w:t>
      </w:r>
    </w:p>
    <w:p>
      <w:pPr>
        <w:pStyle w:val="null3"/>
        <w:spacing w:before="105" w:after="105"/>
        <w:jc w:val="both"/>
      </w:pPr>
      <w:r>
        <w:rPr>
          <w:rFonts w:ascii="宋体" w:hAnsi="宋体" w:cs="宋体" w:eastAsia="宋体"/>
          <w:b/>
          <w:sz w:val="24"/>
          <w:shd w:fill="FFFFFF" w:val="clear"/>
        </w:rPr>
        <w:t>采购包</w:t>
      </w:r>
      <w:r>
        <w:rPr>
          <w:rFonts w:ascii="宋体" w:hAnsi="宋体" w:cs="宋体" w:eastAsia="宋体"/>
          <w:b/>
          <w:sz w:val="24"/>
          <w:shd w:fill="FFFFFF" w:val="clear"/>
        </w:rPr>
        <w:t>2：2024年1-11月福建省林业网上行政审批系统运行维护项目</w:t>
      </w:r>
    </w:p>
    <w:p>
      <w:pPr>
        <w:pStyle w:val="null3"/>
        <w:ind w:firstLine="480"/>
        <w:jc w:val="left"/>
      </w:pPr>
      <w:r>
        <w:rPr>
          <w:rFonts w:ascii="宋体" w:hAnsi="宋体" w:cs="宋体" w:eastAsia="宋体"/>
          <w:sz w:val="24"/>
          <w:shd w:fill="FFFFFF" w:val="clear"/>
        </w:rPr>
        <w:t>保障福建省林业网上行政审批系统的常规正常运行，提供对福建省林业网上行政审批系统</w:t>
      </w:r>
      <w:r>
        <w:rPr>
          <w:rFonts w:ascii="宋体" w:hAnsi="宋体" w:cs="宋体" w:eastAsia="宋体"/>
          <w:sz w:val="24"/>
          <w:shd w:fill="FFFFFF" w:val="clear"/>
        </w:rPr>
        <w:t>11个月的常规运行维护，预防、及时发现福建省林业网上行政审批系统运行潜在的问题并解决。</w:t>
      </w:r>
      <w:r>
        <w:rPr>
          <w:rFonts w:ascii="宋体" w:hAnsi="宋体" w:cs="宋体" w:eastAsia="宋体"/>
          <w:b/>
          <w:sz w:val="24"/>
          <w:shd w:fill="FFFFFF" w:val="clear"/>
        </w:rPr>
        <w:t>(评审1）</w:t>
      </w:r>
    </w:p>
    <w:p>
      <w:pPr>
        <w:pStyle w:val="null3"/>
        <w:ind w:firstLine="480"/>
        <w:jc w:val="left"/>
      </w:pPr>
      <w:r>
        <w:rPr>
          <w:rFonts w:ascii="宋体" w:hAnsi="宋体" w:cs="宋体" w:eastAsia="宋体"/>
          <w:sz w:val="24"/>
          <w:shd w:fill="FFFFFF" w:val="clear"/>
        </w:rPr>
        <w:t>1.提出福建省林业网上行政审批系统运行维护服务方案，制定日常维护方案，针对系统进程、系统权限、系统资源、业务保障等方面设定维护项，合理安排维护计划。</w:t>
      </w:r>
      <w:r>
        <w:rPr>
          <w:rFonts w:ascii="宋体" w:hAnsi="宋体" w:cs="宋体" w:eastAsia="宋体"/>
          <w:b/>
          <w:sz w:val="24"/>
          <w:shd w:fill="FFFFFF" w:val="clear"/>
        </w:rPr>
        <w:t>(评审2）</w:t>
      </w:r>
    </w:p>
    <w:p>
      <w:pPr>
        <w:pStyle w:val="null3"/>
        <w:ind w:firstLine="480"/>
        <w:jc w:val="left"/>
      </w:pPr>
      <w:r>
        <w:rPr>
          <w:rFonts w:ascii="宋体" w:hAnsi="宋体" w:cs="宋体" w:eastAsia="宋体"/>
          <w:sz w:val="24"/>
          <w:shd w:fill="FFFFFF" w:val="clear"/>
        </w:rPr>
        <w:t>2.在软件系统的正常运行过程中，周期性开展常规维护工作，消除故障异常、软件告警、存在问题、安全隐患等，保障软件系统运行状况良好，防止故障发生，降低数据缺失风险与负面影响。</w:t>
      </w:r>
      <w:r>
        <w:rPr>
          <w:rFonts w:ascii="宋体" w:hAnsi="宋体" w:cs="宋体" w:eastAsia="宋体"/>
          <w:b/>
          <w:sz w:val="24"/>
          <w:shd w:fill="FFFFFF" w:val="clear"/>
        </w:rPr>
        <w:t>(评审3）</w:t>
      </w:r>
    </w:p>
    <w:p>
      <w:pPr>
        <w:pStyle w:val="null3"/>
        <w:ind w:firstLine="480"/>
        <w:jc w:val="left"/>
      </w:pPr>
      <w:r>
        <w:rPr>
          <w:rFonts w:ascii="宋体" w:hAnsi="宋体" w:cs="宋体" w:eastAsia="宋体"/>
          <w:sz w:val="24"/>
          <w:shd w:fill="FFFFFF" w:val="clear"/>
        </w:rPr>
        <w:t>3.负责福建省林业网上行政审批系统的服务器、操作系统、中间件、基础软件的运维管理以及漏洞修复。</w:t>
      </w:r>
      <w:r>
        <w:rPr>
          <w:rFonts w:ascii="宋体" w:hAnsi="宋体" w:cs="宋体" w:eastAsia="宋体"/>
          <w:b/>
          <w:sz w:val="24"/>
          <w:shd w:fill="FFFFFF" w:val="clear"/>
        </w:rPr>
        <w:t>(评审4）</w:t>
      </w:r>
    </w:p>
    <w:p>
      <w:pPr>
        <w:pStyle w:val="null3"/>
        <w:ind w:firstLine="480"/>
        <w:jc w:val="left"/>
      </w:pPr>
      <w:r>
        <w:rPr>
          <w:rFonts w:ascii="宋体" w:hAnsi="宋体" w:cs="宋体" w:eastAsia="宋体"/>
          <w:sz w:val="24"/>
          <w:shd w:fill="FFFFFF" w:val="clear"/>
        </w:rPr>
        <w:t>4.提供数据备份与恢复运维工作，确保数据安全。</w:t>
      </w:r>
      <w:r>
        <w:rPr>
          <w:rFonts w:ascii="宋体" w:hAnsi="宋体" w:cs="宋体" w:eastAsia="宋体"/>
          <w:b/>
          <w:sz w:val="24"/>
          <w:shd w:fill="FFFFFF" w:val="clear"/>
        </w:rPr>
        <w:t>(评审5）</w:t>
      </w:r>
    </w:p>
    <w:p>
      <w:pPr>
        <w:pStyle w:val="null3"/>
        <w:ind w:firstLine="480"/>
        <w:jc w:val="left"/>
      </w:pPr>
      <w:r>
        <w:rPr>
          <w:rFonts w:ascii="宋体" w:hAnsi="宋体" w:cs="宋体" w:eastAsia="宋体"/>
          <w:sz w:val="24"/>
          <w:shd w:fill="FFFFFF" w:val="clear"/>
        </w:rPr>
        <w:t>5.服务期限内，遇到系统割接、系统接入、扩容以及安全部署、安全策略调整等特殊阶段对服务提出的特别配合要求，按照要求派技术人员实时响应并协助进行保障。</w:t>
      </w:r>
      <w:r>
        <w:rPr>
          <w:rFonts w:ascii="宋体" w:hAnsi="宋体" w:cs="宋体" w:eastAsia="宋体"/>
          <w:b/>
          <w:sz w:val="24"/>
          <w:shd w:fill="FFFFFF" w:val="clear"/>
        </w:rPr>
        <w:t>(评审6）</w:t>
      </w:r>
    </w:p>
    <w:p>
      <w:pPr>
        <w:pStyle w:val="null3"/>
        <w:ind w:firstLine="480"/>
        <w:jc w:val="left"/>
      </w:pPr>
      <w:r>
        <w:rPr>
          <w:rFonts w:ascii="宋体" w:hAnsi="宋体" w:cs="宋体" w:eastAsia="宋体"/>
          <w:sz w:val="24"/>
          <w:shd w:fill="FFFFFF" w:val="clear"/>
        </w:rPr>
        <w:t>6.保障账号管理、电子地图、统计报表等功能正常运行；为各级用户进行账号申请、组织机构调整进行支撑；提供账号授权、数据权限设置等技术运维工作。</w:t>
      </w:r>
      <w:r>
        <w:rPr>
          <w:rFonts w:ascii="宋体" w:hAnsi="宋体" w:cs="宋体" w:eastAsia="宋体"/>
          <w:b/>
          <w:sz w:val="24"/>
          <w:shd w:fill="FFFFFF" w:val="clear"/>
        </w:rPr>
        <w:t>(评审7）</w:t>
      </w:r>
    </w:p>
    <w:p>
      <w:pPr>
        <w:pStyle w:val="null3"/>
        <w:ind w:firstLine="480"/>
        <w:jc w:val="left"/>
      </w:pPr>
      <w:r>
        <w:rPr>
          <w:rFonts w:ascii="宋体" w:hAnsi="宋体" w:cs="宋体" w:eastAsia="宋体"/>
          <w:sz w:val="24"/>
          <w:shd w:fill="FFFFFF" w:val="clear"/>
        </w:rPr>
        <w:t>7.提供驻点服务</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1）因为福建省林业网上行政审批系统的特殊性，为保持全省林业行政审批业务及时高效办理，出现问题及时排除解决，需在法定工作日工作时间提供驻点服务；</w:t>
      </w:r>
      <w:r>
        <w:rPr>
          <w:rFonts w:ascii="宋体" w:hAnsi="宋体" w:cs="宋体" w:eastAsia="宋体"/>
          <w:b/>
          <w:sz w:val="24"/>
          <w:shd w:fill="FFFFFF" w:val="clear"/>
        </w:rPr>
        <w:t>(评审8）</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2）出现问题1小时内解决，无法及时解决的，应提出方案，报省林业局政务服务中心处理。</w:t>
      </w:r>
      <w:r>
        <w:rPr>
          <w:rFonts w:ascii="宋体" w:hAnsi="宋体" w:cs="宋体" w:eastAsia="宋体"/>
          <w:b/>
          <w:sz w:val="24"/>
          <w:shd w:fill="FFFFFF" w:val="clear"/>
        </w:rPr>
        <w:t>(评审9）</w:t>
      </w:r>
    </w:p>
    <w:p>
      <w:pPr>
        <w:pStyle w:val="null3"/>
        <w:ind w:firstLine="480"/>
        <w:jc w:val="left"/>
      </w:pPr>
      <w:r>
        <w:rPr>
          <w:rFonts w:ascii="宋体" w:hAnsi="宋体" w:cs="宋体" w:eastAsia="宋体"/>
          <w:sz w:val="24"/>
          <w:shd w:fill="FFFFFF" w:val="clear"/>
        </w:rPr>
        <w:t>8.根据工作需要，协助安排技术人员为系统使用人员提供培训。</w:t>
      </w:r>
      <w:r>
        <w:rPr>
          <w:rFonts w:ascii="宋体" w:hAnsi="宋体" w:cs="宋体" w:eastAsia="宋体"/>
          <w:b/>
          <w:sz w:val="24"/>
          <w:shd w:fill="FFFFFF" w:val="clear"/>
        </w:rPr>
        <w:t>(评审10）</w:t>
      </w:r>
    </w:p>
    <w:p>
      <w:pPr>
        <w:pStyle w:val="null3"/>
        <w:ind w:firstLine="480"/>
        <w:jc w:val="left"/>
      </w:pPr>
      <w:r>
        <w:rPr>
          <w:rFonts w:ascii="宋体" w:hAnsi="宋体" w:cs="宋体" w:eastAsia="宋体"/>
          <w:sz w:val="24"/>
          <w:shd w:fill="FFFFFF" w:val="clear"/>
        </w:rPr>
        <w:t>9.在工作日工作时间为系统使用人员提供系统操作解答，主要服务内容如下：</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1）提供系统使用指导，协助用户完成系统功能操作；</w:t>
      </w:r>
      <w:r>
        <w:rPr>
          <w:rFonts w:ascii="宋体" w:hAnsi="宋体" w:cs="宋体" w:eastAsia="宋体"/>
          <w:b/>
          <w:sz w:val="24"/>
          <w:shd w:fill="FFFFFF" w:val="clear"/>
        </w:rPr>
        <w:t>(评审11）</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2）对用户提出的使用问题进行解答；</w:t>
      </w:r>
      <w:r>
        <w:rPr>
          <w:rFonts w:ascii="宋体" w:hAnsi="宋体" w:cs="宋体" w:eastAsia="宋体"/>
          <w:b/>
          <w:sz w:val="24"/>
          <w:shd w:fill="FFFFFF" w:val="clear"/>
        </w:rPr>
        <w:t>(评审12）</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3）对用户提出的使用建议进行收集，转交运维团队，以便后期进行完善或改进；</w:t>
      </w:r>
      <w:r>
        <w:rPr>
          <w:rFonts w:ascii="宋体" w:hAnsi="宋体" w:cs="宋体" w:eastAsia="宋体"/>
          <w:b/>
          <w:sz w:val="24"/>
          <w:shd w:fill="FFFFFF" w:val="clear"/>
        </w:rPr>
        <w:t>(评审13）</w:t>
      </w:r>
    </w:p>
    <w:p>
      <w:pPr>
        <w:pStyle w:val="null3"/>
        <w:ind w:firstLine="480"/>
        <w:jc w:val="left"/>
      </w:pPr>
      <w:r>
        <w:rPr>
          <w:rFonts w:ascii="宋体" w:hAnsi="宋体" w:cs="宋体" w:eastAsia="宋体"/>
          <w:sz w:val="24"/>
          <w:shd w:fill="FFFFFF" w:val="clear"/>
        </w:rPr>
        <w:t>（</w:t>
      </w:r>
      <w:r>
        <w:rPr>
          <w:rFonts w:ascii="宋体" w:hAnsi="宋体" w:cs="宋体" w:eastAsia="宋体"/>
          <w:sz w:val="24"/>
          <w:shd w:fill="FFFFFF" w:val="clear"/>
        </w:rPr>
        <w:t>4）登记用户数据处理请求，转交运维技术人员进行处理。</w:t>
      </w:r>
      <w:r>
        <w:rPr>
          <w:rFonts w:ascii="宋体" w:hAnsi="宋体" w:cs="宋体" w:eastAsia="宋体"/>
          <w:b/>
          <w:sz w:val="24"/>
          <w:shd w:fill="FFFFFF" w:val="clear"/>
        </w:rPr>
        <w:t>(评审14）</w:t>
      </w:r>
    </w:p>
    <w:p>
      <w:pPr>
        <w:pStyle w:val="null3"/>
        <w:jc w:val="both"/>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合同签订后365天内完成建设内容开发，由建设单位组织初步验收。初步验收通过后，转入试运行。试运行三个月后，由建设单位按规定开展竣工验收。</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采购人指定位置</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验收合格并交付使用</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是否邀请供应商验收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1、期次1，说明：按磋商文件、响应文件以及合同相关条款要求对服务项目进行验收，验收结果应符合采购人要求。</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1、初步验收通过后，成交人须提供有效的等额增值税(专用或普通)发票，达到付款条件起30日内，支付合同总金额的50.00%</w:t>
            </w:r>
          </w:p>
          <w:p>
            <w:pPr>
              <w:pStyle w:val="null3"/>
            </w:pPr>
            <w:r>
              <w:rPr/>
              <w:t>2、竣工验收通过后，成交人须提供有效的等额增值税(专用或普通)发票，达到付款条件起30日内，支付合同总金额的50.00%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pPr>
      <w:r>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服务期合同签订后的11个月</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采购人指定位置</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验收合格并交付使用</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是否邀请供应商验收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1、期次1，说明：按磋商文件、响应文件以及合同相关条款要求对服务项目进行验收，验收结果应符合采购人要求。</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1、合同签订后6个月内采购人支付合同金额的50%，成交人须提供有效的等额增值税(专用或普通)发票，达到付款条件起30日内，支付合同总金额的50.00%</w:t>
            </w:r>
          </w:p>
          <w:p>
            <w:pPr>
              <w:pStyle w:val="null3"/>
            </w:pPr>
            <w:r>
              <w:rPr/>
              <w:t>2、服务期满并验收合格后，采购人支付合同总金额的50.00%，成交人须提供有效的等额增值税(专用或普通)发票，达到付款条件起30日内，支付合同总金额的50.00%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宋体" w:hAnsi="宋体" w:cs="宋体" w:eastAsia="宋体"/>
          <w:b/>
          <w:sz w:val="24"/>
          <w:shd w:fill="FFFFFF" w:val="clear"/>
        </w:rPr>
        <w:t>以下内容为不允许偏离的实质性要求</w:t>
      </w:r>
    </w:p>
    <w:p>
      <w:pPr>
        <w:pStyle w:val="null3"/>
        <w:spacing w:before="105" w:after="105"/>
        <w:jc w:val="both"/>
      </w:pPr>
      <w:r>
        <w:rPr>
          <w:rFonts w:ascii="宋体" w:hAnsi="宋体" w:cs="宋体" w:eastAsia="宋体"/>
          <w:b/>
          <w:sz w:val="24"/>
          <w:shd w:fill="FFFFFF" w:val="clear"/>
        </w:rPr>
        <w:t>采购包</w:t>
      </w:r>
      <w:r>
        <w:rPr>
          <w:rFonts w:ascii="宋体" w:hAnsi="宋体" w:cs="宋体" w:eastAsia="宋体"/>
          <w:b/>
          <w:sz w:val="24"/>
          <w:shd w:fill="FFFFFF" w:val="clear"/>
        </w:rPr>
        <w:t>1：福建省林业网上行政审批系统功能完善</w:t>
      </w:r>
    </w:p>
    <w:p>
      <w:pPr>
        <w:pStyle w:val="null3"/>
        <w:ind w:firstLine="480"/>
        <w:jc w:val="left"/>
      </w:pPr>
      <w:r>
        <w:rPr>
          <w:rFonts w:ascii="宋体" w:hAnsi="宋体" w:cs="宋体" w:eastAsia="宋体"/>
          <w:sz w:val="24"/>
          <w:shd w:fill="FFFFFF" w:val="clear"/>
        </w:rPr>
        <w:t>8、违约责任</w:t>
      </w:r>
    </w:p>
    <w:p>
      <w:pPr>
        <w:pStyle w:val="null3"/>
        <w:ind w:firstLine="480"/>
        <w:jc w:val="left"/>
      </w:pPr>
      <w:r>
        <w:rPr>
          <w:rFonts w:ascii="宋体" w:hAnsi="宋体" w:cs="宋体" w:eastAsia="宋体"/>
          <w:sz w:val="24"/>
          <w:shd w:fill="FFFFFF" w:val="clear"/>
        </w:rPr>
        <w:t>8.1因成交人原因造成采购合同无法按时签订，视为成交人违约，成交人违约对采购人造成的损失的，需另行支付相应的赔偿。</w:t>
      </w:r>
    </w:p>
    <w:p>
      <w:pPr>
        <w:pStyle w:val="null3"/>
        <w:ind w:firstLine="480"/>
        <w:jc w:val="left"/>
      </w:pPr>
      <w:r>
        <w:rPr>
          <w:rFonts w:ascii="宋体" w:hAnsi="宋体" w:cs="宋体" w:eastAsia="宋体"/>
          <w:sz w:val="24"/>
          <w:shd w:fill="FFFFFF" w:val="clear"/>
        </w:rPr>
        <w:t>8.2在签订采购合同之后，成交人要求解除合同的，视为成交人违约，对采购人造成的损失的，成交人需支付相应的赔偿。</w:t>
      </w:r>
    </w:p>
    <w:p>
      <w:pPr>
        <w:pStyle w:val="null3"/>
        <w:ind w:firstLine="480"/>
        <w:jc w:val="left"/>
      </w:pPr>
      <w:r>
        <w:rPr>
          <w:rFonts w:ascii="宋体" w:hAnsi="宋体" w:cs="宋体" w:eastAsia="宋体"/>
          <w:sz w:val="24"/>
          <w:shd w:fill="FFFFFF" w:val="clear"/>
        </w:rPr>
        <w:t>8.3因成交人原因发生重大质量事故，除依约承担赔偿责任外，还将按有关质量管理办法规定执行。同时，采购人有权保留更换成交人的权利，并报相关行政主管部门处罚。</w:t>
      </w:r>
    </w:p>
    <w:p>
      <w:pPr>
        <w:pStyle w:val="null3"/>
        <w:ind w:firstLine="480"/>
        <w:jc w:val="left"/>
      </w:pPr>
      <w:r>
        <w:rPr>
          <w:rFonts w:ascii="宋体" w:hAnsi="宋体" w:cs="宋体" w:eastAsia="宋体"/>
          <w:sz w:val="24"/>
          <w:shd w:fill="FFFFFF" w:val="clear"/>
        </w:rPr>
        <w:t>8.4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left"/>
      </w:pPr>
      <w:r>
        <w:rPr>
          <w:rFonts w:ascii="宋体" w:hAnsi="宋体" w:cs="宋体" w:eastAsia="宋体"/>
          <w:sz w:val="24"/>
          <w:shd w:fill="FFFFFF" w:val="clear"/>
        </w:rPr>
        <w:t>8.5在明确违约责任后，成交人应在接到书面通知书起七天内支付违约金、赔偿金等。</w:t>
      </w:r>
    </w:p>
    <w:p>
      <w:pPr>
        <w:pStyle w:val="null3"/>
        <w:ind w:firstLine="480"/>
        <w:jc w:val="left"/>
      </w:pPr>
      <w:r>
        <w:rPr>
          <w:rFonts w:ascii="宋体" w:hAnsi="宋体" w:cs="宋体" w:eastAsia="宋体"/>
          <w:sz w:val="24"/>
          <w:shd w:fill="FFFFFF" w:val="clear"/>
        </w:rPr>
        <w:t>9、知识产权</w:t>
      </w:r>
    </w:p>
    <w:p>
      <w:pPr>
        <w:pStyle w:val="null3"/>
        <w:ind w:firstLine="480"/>
        <w:jc w:val="left"/>
      </w:pPr>
      <w:r>
        <w:rPr>
          <w:rFonts w:ascii="宋体" w:hAnsi="宋体" w:cs="宋体" w:eastAsia="宋体"/>
          <w:sz w:val="24"/>
          <w:shd w:fill="FFFFFF" w:val="clear"/>
        </w:rPr>
        <w:t>成交人须保障采购人在使用该货物或其任何一部分时不受到第三方关于侵犯专利权、商标权或工业设计权等知识产权的指控。如果任何第三方提出侵权指控与采购人无关，成交人须与第三方交涉并承担可能发生的责任与一切费用。如采购人因此而遭致损失的，成交人应赔偿该损失。</w:t>
      </w:r>
    </w:p>
    <w:p>
      <w:pPr>
        <w:pStyle w:val="null3"/>
        <w:ind w:firstLine="480"/>
        <w:jc w:val="left"/>
      </w:pPr>
      <w:r>
        <w:rPr>
          <w:rFonts w:ascii="宋体" w:hAnsi="宋体" w:cs="宋体" w:eastAsia="宋体"/>
          <w:sz w:val="24"/>
          <w:shd w:fill="FFFFFF" w:val="clear"/>
        </w:rPr>
        <w:t>10、仲裁、诉讼条款</w:t>
      </w:r>
    </w:p>
    <w:p>
      <w:pPr>
        <w:pStyle w:val="null3"/>
        <w:ind w:firstLine="480"/>
        <w:jc w:val="left"/>
      </w:pPr>
      <w:r>
        <w:rPr>
          <w:rFonts w:ascii="宋体" w:hAnsi="宋体" w:cs="宋体" w:eastAsia="宋体"/>
          <w:sz w:val="24"/>
          <w:shd w:fill="FFFFFF" w:val="clear"/>
        </w:rPr>
        <w:t>因采购或与采购合同有关的一切事项发生争议，由采购人和成交人双方友好协商解决。协商不成的，任何一方均可选择以下方式解决：</w:t>
      </w:r>
    </w:p>
    <w:p>
      <w:pPr>
        <w:pStyle w:val="null3"/>
        <w:ind w:firstLine="480"/>
        <w:jc w:val="left"/>
      </w:pPr>
      <w:r>
        <w:rPr>
          <w:rFonts w:ascii="宋体" w:hAnsi="宋体" w:cs="宋体" w:eastAsia="宋体"/>
          <w:sz w:val="24"/>
          <w:shd w:fill="FFFFFF" w:val="clear"/>
        </w:rPr>
        <w:t>(1)向采购人所在地仲裁委员会申请仲裁；</w:t>
      </w:r>
    </w:p>
    <w:p>
      <w:pPr>
        <w:pStyle w:val="null3"/>
        <w:ind w:firstLine="480"/>
        <w:jc w:val="left"/>
      </w:pPr>
      <w:r>
        <w:rPr>
          <w:rFonts w:ascii="宋体" w:hAnsi="宋体" w:cs="宋体" w:eastAsia="宋体"/>
          <w:sz w:val="24"/>
          <w:shd w:fill="FFFFFF" w:val="clear"/>
        </w:rPr>
        <w:t>(2)向有管辖权的人民法院提起诉讼。</w:t>
      </w:r>
    </w:p>
    <w:p>
      <w:pPr>
        <w:pStyle w:val="null3"/>
        <w:spacing w:before="105" w:after="105"/>
        <w:jc w:val="both"/>
      </w:pPr>
      <w:r>
        <w:rPr>
          <w:rFonts w:ascii="宋体" w:hAnsi="宋体" w:cs="宋体" w:eastAsia="宋体"/>
          <w:b/>
          <w:sz w:val="24"/>
          <w:shd w:fill="FFFFFF" w:val="clear"/>
        </w:rPr>
        <w:t>采购包</w:t>
      </w:r>
      <w:r>
        <w:rPr>
          <w:rFonts w:ascii="宋体" w:hAnsi="宋体" w:cs="宋体" w:eastAsia="宋体"/>
          <w:b/>
          <w:sz w:val="24"/>
          <w:shd w:fill="FFFFFF" w:val="clear"/>
        </w:rPr>
        <w:t>2：2024年1-11月福建省林业网上行政审批系统运行维护项目</w:t>
      </w:r>
    </w:p>
    <w:p>
      <w:pPr>
        <w:pStyle w:val="null3"/>
        <w:ind w:firstLine="480"/>
        <w:jc w:val="left"/>
      </w:pPr>
      <w:r>
        <w:rPr>
          <w:rFonts w:ascii="宋体" w:hAnsi="宋体" w:cs="宋体" w:eastAsia="宋体"/>
          <w:sz w:val="24"/>
          <w:shd w:fill="FFFFFF" w:val="clear"/>
        </w:rPr>
        <w:t>8、违约责任</w:t>
      </w:r>
    </w:p>
    <w:p>
      <w:pPr>
        <w:pStyle w:val="null3"/>
        <w:ind w:firstLine="480"/>
        <w:jc w:val="left"/>
      </w:pPr>
      <w:r>
        <w:rPr>
          <w:rFonts w:ascii="宋体" w:hAnsi="宋体" w:cs="宋体" w:eastAsia="宋体"/>
          <w:sz w:val="24"/>
          <w:shd w:fill="FFFFFF" w:val="clear"/>
        </w:rPr>
        <w:t>8.1因成交人原因造成采购合同无法按时签订，视为成交人违约，成交人违约对采购人造成的损失的，需另行支付相应的赔偿。</w:t>
      </w:r>
    </w:p>
    <w:p>
      <w:pPr>
        <w:pStyle w:val="null3"/>
        <w:ind w:firstLine="480"/>
        <w:jc w:val="left"/>
      </w:pPr>
      <w:r>
        <w:rPr>
          <w:rFonts w:ascii="宋体" w:hAnsi="宋体" w:cs="宋体" w:eastAsia="宋体"/>
          <w:sz w:val="24"/>
          <w:shd w:fill="FFFFFF" w:val="clear"/>
        </w:rPr>
        <w:t>8.2在签订采购合同之后，成交人要求解除合同的，视为成交人违约，对采购人造成的损失的，成交人需支付相应的赔偿。</w:t>
      </w:r>
    </w:p>
    <w:p>
      <w:pPr>
        <w:pStyle w:val="null3"/>
        <w:ind w:firstLine="480"/>
        <w:jc w:val="left"/>
      </w:pPr>
      <w:r>
        <w:rPr>
          <w:rFonts w:ascii="宋体" w:hAnsi="宋体" w:cs="宋体" w:eastAsia="宋体"/>
          <w:sz w:val="24"/>
          <w:shd w:fill="FFFFFF" w:val="clear"/>
        </w:rPr>
        <w:t>8.3因成交人原因发生重大质量事故，除依约承担赔偿责任外，还将按有关质量管理办法规定执行。同时，采购人有权保留更换成交人的权利，并报相关行政主管部门处罚。</w:t>
      </w:r>
    </w:p>
    <w:p>
      <w:pPr>
        <w:pStyle w:val="null3"/>
        <w:ind w:firstLine="480"/>
        <w:jc w:val="left"/>
      </w:pPr>
      <w:r>
        <w:rPr>
          <w:rFonts w:ascii="宋体" w:hAnsi="宋体" w:cs="宋体" w:eastAsia="宋体"/>
          <w:sz w:val="24"/>
          <w:shd w:fill="FFFFFF" w:val="clear"/>
        </w:rPr>
        <w:t>8.4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left"/>
      </w:pPr>
      <w:r>
        <w:rPr>
          <w:rFonts w:ascii="宋体" w:hAnsi="宋体" w:cs="宋体" w:eastAsia="宋体"/>
          <w:sz w:val="24"/>
          <w:shd w:fill="FFFFFF" w:val="clear"/>
        </w:rPr>
        <w:t>8.5在明确违约责任后，成交人应在接到书面通知书起七天内支付违约金、赔偿金等。</w:t>
      </w:r>
    </w:p>
    <w:p>
      <w:pPr>
        <w:pStyle w:val="null3"/>
        <w:ind w:firstLine="480"/>
        <w:jc w:val="left"/>
      </w:pPr>
      <w:r>
        <w:rPr>
          <w:rFonts w:ascii="宋体" w:hAnsi="宋体" w:cs="宋体" w:eastAsia="宋体"/>
          <w:sz w:val="24"/>
          <w:shd w:fill="FFFFFF" w:val="clear"/>
        </w:rPr>
        <w:t>9、知识产权</w:t>
      </w:r>
    </w:p>
    <w:p>
      <w:pPr>
        <w:pStyle w:val="null3"/>
        <w:ind w:firstLine="480"/>
        <w:jc w:val="left"/>
      </w:pPr>
      <w:r>
        <w:rPr>
          <w:rFonts w:ascii="宋体" w:hAnsi="宋体" w:cs="宋体" w:eastAsia="宋体"/>
          <w:sz w:val="24"/>
          <w:shd w:fill="FFFFFF" w:val="clear"/>
        </w:rPr>
        <w:t>成交人须保障采购人在使用该货物或其任何一部分时不受到第三方关于侵犯专利权、商标权或工业设计权等知识产权的指控。如果任何第三方提出侵权指控与采购人无关，成交人须与第三方交涉并承担可能发生的责任与一切费用。如采购人因此而遭致损失的，成交人应赔偿该损失。</w:t>
      </w:r>
    </w:p>
    <w:p>
      <w:pPr>
        <w:pStyle w:val="null3"/>
        <w:ind w:firstLine="480"/>
        <w:jc w:val="left"/>
      </w:pPr>
      <w:r>
        <w:rPr>
          <w:rFonts w:ascii="宋体" w:hAnsi="宋体" w:cs="宋体" w:eastAsia="宋体"/>
          <w:sz w:val="24"/>
          <w:shd w:fill="FFFFFF" w:val="clear"/>
        </w:rPr>
        <w:t>10、仲裁、诉讼条款</w:t>
      </w:r>
    </w:p>
    <w:p>
      <w:pPr>
        <w:pStyle w:val="null3"/>
        <w:ind w:firstLine="480"/>
        <w:jc w:val="left"/>
      </w:pPr>
      <w:r>
        <w:rPr>
          <w:rFonts w:ascii="宋体" w:hAnsi="宋体" w:cs="宋体" w:eastAsia="宋体"/>
          <w:sz w:val="24"/>
          <w:shd w:fill="FFFFFF" w:val="clear"/>
        </w:rPr>
        <w:t>因采购或与采购合同有关的一切事项发生争议，由采购人和成交人双方友好协商解决。协商不成的，任何一方均可选择以下方式解决：</w:t>
      </w:r>
    </w:p>
    <w:p>
      <w:pPr>
        <w:pStyle w:val="null3"/>
        <w:ind w:firstLine="480"/>
        <w:jc w:val="left"/>
      </w:pPr>
      <w:r>
        <w:rPr>
          <w:rFonts w:ascii="宋体" w:hAnsi="宋体" w:cs="宋体" w:eastAsia="宋体"/>
          <w:sz w:val="24"/>
          <w:shd w:fill="FFFFFF" w:val="clear"/>
        </w:rPr>
        <w:t>(1)向采购人所在地仲裁委员会申请仲裁；</w:t>
      </w:r>
    </w:p>
    <w:p>
      <w:pPr>
        <w:pStyle w:val="null3"/>
        <w:ind w:firstLine="480"/>
        <w:jc w:val="left"/>
      </w:pPr>
      <w:r>
        <w:rPr>
          <w:rFonts w:ascii="宋体" w:hAnsi="宋体" w:cs="宋体" w:eastAsia="宋体"/>
          <w:sz w:val="24"/>
          <w:shd w:fill="FFFFFF" w:val="clear"/>
        </w:rPr>
        <w:t>(2)向有管辖权的人民法院提起诉讼。</w:t>
      </w:r>
    </w:p>
    <w:p>
      <w:pPr>
        <w:pStyle w:val="null3"/>
        <w:spacing w:before="105" w:after="105"/>
        <w:jc w:val="both"/>
        <w:outlineLvl w:val="2"/>
      </w:pPr>
      <w:r>
        <w:rPr>
          <w:b/>
          <w:sz w:val="28"/>
        </w:rPr>
        <w:t>四、其他事项</w:t>
      </w:r>
    </w:p>
    <w:p>
      <w:pPr>
        <w:pStyle w:val="null3"/>
        <w:jc w:val="left"/>
      </w:pPr>
      <w:r>
        <w:rPr/>
        <w:t>(1)本项目不允许成交人以任何名义和理由进行分包、转包，如有发现，采购人有权单方终止合同，视为成交人违约；成交人违约对采购人造成的损失的，需另行支付相应的赔偿。 (2)本招标文件未明确的其它约定事项或条款，待采购人与成交人签订合同时，由双方协商订立。 (3)在项目履行过程中安全责任由成交人负责，与采购人无关。</w:t>
      </w:r>
    </w:p>
    <w:p>
      <w:pPr>
        <w:pStyle w:val="null3"/>
      </w:pPr>
      <w:r>
        <w:rPr/>
        <w:t xml:space="preserve"> </w:t>
        <w:br/>
        <w:br w:type="page"/>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br/>
        <w:br w:type="page"/>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br/>
        <w:br w:type="page"/>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