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方正小标宋简体" w:hAnsi="方正小标宋简体" w:eastAsia="方正小标宋简体" w:cs="方正小标宋简体"/>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highlight w:val="none"/>
          <w:lang w:eastAsia="zh-CN"/>
        </w:rPr>
        <w:t>福建省林业局</w:t>
      </w:r>
      <w:r>
        <w:rPr>
          <w:rFonts w:hint="eastAsia" w:ascii="方正小标宋简体" w:hAnsi="方正小标宋简体" w:eastAsia="方正小标宋简体" w:cs="方正小标宋简体"/>
          <w:sz w:val="44"/>
          <w:szCs w:val="44"/>
          <w:lang w:eastAsia="zh-CN"/>
        </w:rPr>
        <w:t>关于规范古树名木保护管理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有关工作的通知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before="313" w:line="600" w:lineRule="exact"/>
        <w:jc w:val="both"/>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各市、县（区）和平潭综合实验区林业主管部门：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eastAsia="仿宋_GB2312"/>
          <w:sz w:val="32"/>
          <w:szCs w:val="32"/>
          <w:highlight w:val="none"/>
          <w:lang w:eastAsia="zh-CN"/>
        </w:rPr>
        <w:t>为贯彻落实《福建省古树名木保护管理办法》（以下简称《办法》），现就规范古树名木移植和死亡注销管理等有关工作通</w:t>
      </w:r>
      <w:r>
        <w:rPr>
          <w:rFonts w:hint="eastAsia" w:ascii="仿宋_GB2312" w:eastAsia="仿宋_GB2312"/>
          <w:sz w:val="32"/>
          <w:szCs w:val="32"/>
          <w:highlight w:val="none"/>
        </w:rPr>
        <w:t>知如</w:t>
      </w:r>
      <w:r>
        <w:rPr>
          <w:rFonts w:hint="eastAsia" w:ascii="仿宋_GB2312" w:eastAsia="仿宋_GB2312"/>
          <w:color w:val="000000" w:themeColor="text1"/>
          <w:sz w:val="32"/>
          <w:szCs w:val="32"/>
          <w:highlight w:val="none"/>
          <w14:textFill>
            <w14:solidFill>
              <w14:schemeClr w14:val="tx1"/>
            </w14:solidFill>
          </w14:textFill>
        </w:rPr>
        <w:t>下</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宋体"/>
          <w:kern w:val="0"/>
          <w:sz w:val="32"/>
          <w:szCs w:val="32"/>
          <w:highlight w:val="none"/>
          <w:lang w:eastAsia="zh-CN"/>
        </w:rPr>
      </w:pPr>
      <w:r>
        <w:rPr>
          <w:rFonts w:hint="eastAsia" w:ascii="黑体" w:hAnsi="黑体" w:eastAsia="黑体" w:cs="宋体"/>
          <w:kern w:val="0"/>
          <w:sz w:val="32"/>
          <w:szCs w:val="32"/>
          <w:highlight w:val="none"/>
          <w:lang w:eastAsia="zh-CN"/>
        </w:rPr>
        <w:t>一、关于规范古树名木移植管理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kern w:val="0"/>
          <w:sz w:val="32"/>
          <w:szCs w:val="32"/>
          <w:highlight w:val="none"/>
          <w:lang w:val="en-US" w:eastAsia="zh-CN"/>
        </w:rPr>
      </w:pPr>
      <w:r>
        <w:rPr>
          <w:rFonts w:hint="eastAsia" w:ascii="楷体_GB2312" w:hAnsi="楷体_GB2312" w:eastAsia="楷体_GB2312" w:cs="楷体_GB2312"/>
          <w:b/>
          <w:bCs/>
          <w:kern w:val="0"/>
          <w:sz w:val="32"/>
          <w:szCs w:val="32"/>
          <w:highlight w:val="none"/>
          <w:lang w:val="en-US" w:eastAsia="zh-CN"/>
        </w:rPr>
        <w:t>（一）严格核查审批</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《办法》第三十条规定了可以申请对古树名木进行移植、实行异地保护的三种情形：</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1.生存环境已不适宜古树名木继续生长，可能导致古树名木死亡的；</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2.古树名木的生长状况对公众生命、财产安全可能造成危害，且采取防护措施后仍无法消除隐患的；</w:t>
      </w:r>
    </w:p>
    <w:p>
      <w:pPr>
        <w:keepNext w:val="0"/>
        <w:keepLines w:val="0"/>
        <w:pageBreakBefore w:val="0"/>
        <w:widowControl w:val="0"/>
        <w:numPr>
          <w:numId w:val="0"/>
        </w:numPr>
        <w:shd w:val="solid" w:color="FFFFFF" w:fill="auto"/>
        <w:kinsoku/>
        <w:wordWrap/>
        <w:overflowPunct/>
        <w:topLinePunct w:val="0"/>
        <w:autoSpaceDE/>
        <w:autoSpaceDN w:val="0"/>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3.因国家和省重点基础设施、民生保障及公共事业项目建设确实无法避让的。</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古树名木移植应当制定移植方案，并依法审批。移植方案应当明确种植养护措施和养护人，并落实移植费用以及移植后不少于5年的养护费用。名木和一级、二级古树由省林业局审批，可组织省林业调查规划院开展现场核查；三级古树由设区市林业主管部门审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highlight w:val="none"/>
          <w:lang w:eastAsia="zh-CN"/>
        </w:rPr>
      </w:pPr>
      <w:r>
        <w:rPr>
          <w:rFonts w:hint="eastAsia" w:ascii="仿宋_GB2312" w:hAnsi="仿宋_GB2312" w:eastAsia="仿宋_GB2312" w:cs="仿宋_GB2312"/>
          <w:kern w:val="0"/>
          <w:sz w:val="32"/>
          <w:szCs w:val="32"/>
          <w:highlight w:val="none"/>
          <w:lang w:val="en-US" w:eastAsia="zh-CN"/>
        </w:rPr>
        <w:t>对于项目建设涉及古树名木的，县级林业主管部门在建设项目前期立项、规划选址时，应提前介入，告知建设项目业主红线范围内涉及的古树名木分布情况，并积极引导建设单位对古树名木及其保护范围尽可能予以避让。建设项目使用林地可行性报告或现状调查表的编制单位，应按有关规程规定，全面、准确调查拟使用土地范围内涉及古树名木及其保护范围等情况。因国家和省重点基础设施、民生保障及公共事业项目建设确实无法避让的，应在可行性报告或现状调查表中充分阐述分析无法避让的理由及有关情况。对遗漏调查或调查不准确的，按《建设项目使用林地可行性报告或现状调查表编制质量评定及管理办法》进行质量评定，评定结果录入“福建省林业网上行政审批系统”，定期在省林业局门户网站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kern w:val="0"/>
          <w:sz w:val="32"/>
          <w:szCs w:val="32"/>
          <w:highlight w:val="none"/>
          <w:lang w:val="en-US" w:eastAsia="zh-CN"/>
        </w:rPr>
      </w:pPr>
      <w:r>
        <w:rPr>
          <w:rFonts w:hint="eastAsia" w:ascii="楷体_GB2312" w:hAnsi="楷体_GB2312" w:eastAsia="楷体_GB2312" w:cs="楷体_GB2312"/>
          <w:b/>
          <w:bCs/>
          <w:kern w:val="0"/>
          <w:sz w:val="32"/>
          <w:szCs w:val="32"/>
          <w:highlight w:val="none"/>
          <w:lang w:val="en-US" w:eastAsia="zh-CN"/>
        </w:rPr>
        <w:t>（二）加强</w:t>
      </w:r>
      <w:r>
        <w:rPr>
          <w:rFonts w:hint="eastAsia" w:ascii="楷体_GB2312" w:hAnsi="楷体_GB2312" w:eastAsia="楷体_GB2312" w:cs="楷体_GB2312"/>
          <w:b/>
          <w:bCs/>
          <w:color w:val="000000" w:themeColor="text1"/>
          <w:kern w:val="0"/>
          <w:sz w:val="32"/>
          <w:szCs w:val="32"/>
          <w:highlight w:val="none"/>
          <w:lang w:val="en-US" w:eastAsia="zh-CN"/>
          <w14:textFill>
            <w14:solidFill>
              <w14:schemeClr w14:val="tx1"/>
            </w14:solidFill>
          </w14:textFill>
        </w:rPr>
        <w:t>指导督促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lang w:eastAsia="zh-CN"/>
        </w:rPr>
        <w:t>县级</w:t>
      </w:r>
      <w:r>
        <w:rPr>
          <w:rFonts w:hint="eastAsia" w:ascii="仿宋_GB2312" w:eastAsia="仿宋_GB2312"/>
          <w:sz w:val="32"/>
          <w:szCs w:val="32"/>
          <w:highlight w:val="none"/>
        </w:rPr>
        <w:t>林业主管部门</w:t>
      </w:r>
      <w:r>
        <w:rPr>
          <w:rFonts w:hint="eastAsia" w:ascii="仿宋_GB2312" w:eastAsia="仿宋_GB2312"/>
          <w:sz w:val="32"/>
          <w:szCs w:val="32"/>
          <w:highlight w:val="none"/>
          <w:lang w:eastAsia="zh-CN"/>
        </w:rPr>
        <w:t>要</w:t>
      </w:r>
      <w:r>
        <w:rPr>
          <w:rFonts w:hint="eastAsia" w:ascii="仿宋_GB2312" w:eastAsia="仿宋_GB2312"/>
          <w:sz w:val="32"/>
          <w:szCs w:val="32"/>
          <w:highlight w:val="none"/>
        </w:rPr>
        <w:t>指导督促</w:t>
      </w:r>
      <w:r>
        <w:rPr>
          <w:rFonts w:hint="eastAsia" w:ascii="仿宋_GB2312" w:eastAsia="仿宋_GB2312"/>
          <w:sz w:val="32"/>
          <w:szCs w:val="32"/>
          <w:highlight w:val="none"/>
          <w:lang w:eastAsia="zh-CN"/>
        </w:rPr>
        <w:t>古树名木移植</w:t>
      </w:r>
      <w:r>
        <w:rPr>
          <w:rFonts w:hint="eastAsia" w:ascii="仿宋_GB2312" w:eastAsia="仿宋_GB2312"/>
          <w:sz w:val="32"/>
          <w:szCs w:val="32"/>
          <w:highlight w:val="none"/>
        </w:rPr>
        <w:t>人严格按照采伐许可证实施</w:t>
      </w:r>
      <w:r>
        <w:rPr>
          <w:rFonts w:hint="eastAsia" w:ascii="仿宋_GB2312" w:eastAsia="仿宋_GB2312"/>
          <w:sz w:val="32"/>
          <w:szCs w:val="32"/>
          <w:highlight w:val="none"/>
          <w:lang w:eastAsia="zh-CN"/>
        </w:rPr>
        <w:t>移植，严格按照移植方案进行种植和养护；要指导督促古树名木移植</w:t>
      </w:r>
      <w:r>
        <w:rPr>
          <w:rFonts w:hint="eastAsia" w:ascii="仿宋_GB2312" w:eastAsia="仿宋_GB2312"/>
          <w:sz w:val="32"/>
          <w:szCs w:val="32"/>
          <w:highlight w:val="none"/>
        </w:rPr>
        <w:t>人采取有效措施保护好采挖</w:t>
      </w:r>
      <w:r>
        <w:rPr>
          <w:rFonts w:hint="eastAsia" w:ascii="仿宋_GB2312" w:eastAsia="仿宋_GB2312"/>
          <w:sz w:val="32"/>
          <w:szCs w:val="32"/>
          <w:highlight w:val="none"/>
          <w:lang w:eastAsia="zh-CN"/>
        </w:rPr>
        <w:t>点、种植点</w:t>
      </w:r>
      <w:r>
        <w:rPr>
          <w:rFonts w:hint="eastAsia" w:ascii="仿宋_GB2312" w:eastAsia="仿宋_GB2312"/>
          <w:sz w:val="32"/>
          <w:szCs w:val="32"/>
          <w:highlight w:val="none"/>
        </w:rPr>
        <w:t>上的其他树木，防止破坏周边植被</w:t>
      </w:r>
      <w:r>
        <w:rPr>
          <w:rFonts w:hint="eastAsia" w:ascii="仿宋_GB2312" w:eastAsia="仿宋_GB2312"/>
          <w:sz w:val="32"/>
          <w:szCs w:val="32"/>
          <w:highlight w:val="none"/>
          <w:lang w:eastAsia="zh-CN"/>
        </w:rPr>
        <w:t>，移植</w:t>
      </w:r>
      <w:r>
        <w:rPr>
          <w:rFonts w:hint="eastAsia" w:ascii="仿宋_GB2312" w:eastAsia="仿宋_GB2312"/>
          <w:sz w:val="32"/>
          <w:szCs w:val="32"/>
          <w:highlight w:val="none"/>
        </w:rPr>
        <w:t>后</w:t>
      </w:r>
      <w:r>
        <w:rPr>
          <w:rFonts w:hint="eastAsia" w:ascii="仿宋_GB2312" w:eastAsia="仿宋_GB2312"/>
          <w:sz w:val="32"/>
          <w:szCs w:val="32"/>
          <w:highlight w:val="none"/>
          <w:lang w:eastAsia="zh-CN"/>
        </w:rPr>
        <w:t>应</w:t>
      </w:r>
      <w:r>
        <w:rPr>
          <w:rFonts w:hint="eastAsia" w:ascii="仿宋_GB2312" w:eastAsia="仿宋_GB2312"/>
          <w:sz w:val="32"/>
          <w:szCs w:val="32"/>
          <w:highlight w:val="none"/>
        </w:rPr>
        <w:t>及时回填土壤，防止水土流失，</w:t>
      </w:r>
      <w:r>
        <w:rPr>
          <w:rFonts w:hint="eastAsia" w:ascii="仿宋_GB2312" w:eastAsia="仿宋_GB2312"/>
          <w:sz w:val="32"/>
          <w:szCs w:val="32"/>
          <w:highlight w:val="none"/>
          <w:lang w:eastAsia="zh-CN"/>
        </w:rPr>
        <w:t>将</w:t>
      </w:r>
      <w:r>
        <w:rPr>
          <w:rFonts w:hint="eastAsia" w:ascii="仿宋_GB2312" w:eastAsia="仿宋_GB2312"/>
          <w:sz w:val="32"/>
          <w:szCs w:val="32"/>
          <w:highlight w:val="none"/>
        </w:rPr>
        <w:t>对采挖</w:t>
      </w:r>
      <w:r>
        <w:rPr>
          <w:rFonts w:hint="eastAsia" w:ascii="仿宋_GB2312" w:eastAsia="仿宋_GB2312"/>
          <w:sz w:val="32"/>
          <w:szCs w:val="32"/>
          <w:highlight w:val="none"/>
          <w:lang w:eastAsia="zh-CN"/>
        </w:rPr>
        <w:t>点、种植点</w:t>
      </w:r>
      <w:r>
        <w:rPr>
          <w:rFonts w:hint="eastAsia" w:ascii="仿宋_GB2312" w:eastAsia="仿宋_GB2312"/>
          <w:sz w:val="32"/>
          <w:szCs w:val="32"/>
          <w:highlight w:val="none"/>
        </w:rPr>
        <w:t>的</w:t>
      </w:r>
      <w:r>
        <w:rPr>
          <w:rFonts w:hint="eastAsia" w:ascii="仿宋_GB2312" w:eastAsia="仿宋_GB2312"/>
          <w:sz w:val="32"/>
          <w:szCs w:val="32"/>
          <w:highlight w:val="none"/>
          <w:lang w:eastAsia="zh-CN"/>
        </w:rPr>
        <w:t>环境</w:t>
      </w:r>
      <w:r>
        <w:rPr>
          <w:rFonts w:hint="eastAsia" w:ascii="仿宋_GB2312" w:eastAsia="仿宋_GB2312"/>
          <w:sz w:val="32"/>
          <w:szCs w:val="32"/>
          <w:highlight w:val="none"/>
        </w:rPr>
        <w:t>影响降到最低程度。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kern w:val="0"/>
          <w:sz w:val="32"/>
          <w:szCs w:val="32"/>
          <w:highlight w:val="none"/>
          <w:lang w:val="en-US" w:eastAsia="zh-CN"/>
        </w:rPr>
      </w:pPr>
      <w:r>
        <w:rPr>
          <w:rFonts w:hint="eastAsia" w:ascii="楷体_GB2312" w:hAnsi="楷体_GB2312" w:eastAsia="楷体_GB2312" w:cs="楷体_GB2312"/>
          <w:b/>
          <w:bCs/>
          <w:kern w:val="0"/>
          <w:sz w:val="32"/>
          <w:szCs w:val="32"/>
          <w:highlight w:val="none"/>
          <w:lang w:val="en-US" w:eastAsia="zh-CN"/>
        </w:rPr>
        <w:t>（三）规范档案管理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FF0000"/>
          <w:sz w:val="32"/>
          <w:szCs w:val="32"/>
          <w:highlight w:val="yellow"/>
          <w:lang w:eastAsia="zh-CN"/>
        </w:rPr>
      </w:pPr>
      <w:r>
        <w:rPr>
          <w:rFonts w:hint="eastAsia" w:ascii="仿宋_GB2312" w:hAnsi="仿宋_GB2312" w:eastAsia="仿宋_GB2312" w:cs="仿宋_GB2312"/>
          <w:sz w:val="32"/>
          <w:szCs w:val="32"/>
          <w:highlight w:val="none"/>
          <w:lang w:eastAsia="zh-CN"/>
        </w:rPr>
        <w:t>古树名木经审批移植后，移出地、移入地的县级林业主管部门要及时更新已移植古树名木的移出、移入档案，并录入</w:t>
      </w:r>
      <w:r>
        <w:rPr>
          <w:rFonts w:hint="eastAsia" w:ascii="仿宋_GB2312" w:hAnsi="仿宋_GB2312" w:eastAsia="仿宋_GB2312" w:cs="仿宋_GB2312"/>
          <w:sz w:val="32"/>
          <w:szCs w:val="32"/>
          <w:highlight w:val="none"/>
          <w:lang w:val="en-US" w:eastAsia="zh-CN"/>
        </w:rPr>
        <w:t>“福建</w:t>
      </w:r>
      <w:r>
        <w:rPr>
          <w:rFonts w:hint="eastAsia" w:ascii="仿宋_GB2312" w:hAnsi="仿宋_GB2312" w:eastAsia="仿宋_GB2312" w:cs="仿宋_GB2312"/>
          <w:sz w:val="32"/>
          <w:szCs w:val="32"/>
          <w:highlight w:val="none"/>
          <w:lang w:eastAsia="zh-CN"/>
        </w:rPr>
        <w:t>省古树名木信息管理数据库”，加强跟踪管理，做到移植古树名木的去向明确可查。在本省范围内跨县（市、区）移植古树名木的，由移出地县级林业主管部门书面通知移入地县级林业主管部门建立档案。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kern w:val="0"/>
          <w:sz w:val="32"/>
          <w:szCs w:val="32"/>
          <w:highlight w:val="none"/>
          <w:lang w:val="en-US" w:eastAsia="zh-CN"/>
        </w:rPr>
      </w:pPr>
      <w:r>
        <w:rPr>
          <w:rFonts w:hint="eastAsia" w:ascii="楷体_GB2312" w:hAnsi="楷体_GB2312" w:eastAsia="楷体_GB2312" w:cs="楷体_GB2312"/>
          <w:b/>
          <w:bCs/>
          <w:kern w:val="0"/>
          <w:sz w:val="32"/>
          <w:szCs w:val="32"/>
          <w:highlight w:val="none"/>
          <w:lang w:val="en-US" w:eastAsia="zh-CN"/>
        </w:rPr>
        <w:t>（四）强化跟踪管理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县级林业主管部</w:t>
      </w:r>
      <w:r>
        <w:rPr>
          <w:rFonts w:hint="eastAsia" w:ascii="仿宋_GB2312" w:hAnsi="仿宋_GB2312" w:eastAsia="仿宋_GB2312" w:cs="仿宋_GB2312"/>
          <w:color w:val="auto"/>
          <w:sz w:val="32"/>
          <w:szCs w:val="32"/>
          <w:highlight w:val="none"/>
          <w:lang w:val="en-US" w:eastAsia="zh-CN"/>
        </w:rPr>
        <w:t>门应建立健全移植古树名木的养护巡查机制，定期组织专业技术人员</w:t>
      </w:r>
      <w:r>
        <w:rPr>
          <w:rFonts w:hint="eastAsia" w:ascii="仿宋_GB2312" w:hAnsi="仿宋_GB2312" w:eastAsia="仿宋_GB2312" w:cs="仿宋_GB2312"/>
          <w:sz w:val="32"/>
          <w:szCs w:val="32"/>
          <w:highlight w:val="none"/>
          <w:lang w:val="en-US" w:eastAsia="zh-CN"/>
        </w:rPr>
        <w:t>对移植的古树名木进行巡查，为古树名木养护人提供技术指导，督促其按照养护技术规范实施养护，确保存活。发现树木生长异常或环境状况影响树木生长的，应指导督促及时处理。古树名木移植后的5年内，移入地的县级林业主管部门应当于每年3</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月底前向批准移植的林业主管部门书面报告移植后树木的存</w:t>
      </w:r>
      <w:r>
        <w:rPr>
          <w:rFonts w:hint="eastAsia" w:ascii="仿宋_GB2312" w:hAnsi="仿宋_GB2312" w:eastAsia="仿宋_GB2312" w:cs="仿宋_GB2312"/>
          <w:color w:val="auto"/>
          <w:sz w:val="32"/>
          <w:szCs w:val="32"/>
          <w:highlight w:val="none"/>
          <w:lang w:val="en-US" w:eastAsia="zh-CN"/>
        </w:rPr>
        <w:t>活、养护和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生长情况</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二、关于规范古树名木死亡注销管理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（一</w:t>
      </w:r>
      <w:r>
        <w:rPr>
          <w:rFonts w:hint="eastAsia" w:ascii="楷体_GB2312" w:hAnsi="楷体_GB2312" w:eastAsia="楷体_GB2312" w:cs="楷体_GB2312"/>
          <w:b/>
          <w:bCs/>
          <w:sz w:val="32"/>
          <w:szCs w:val="32"/>
          <w:highlight w:val="none"/>
          <w:lang w:val="en-US" w:eastAsia="zh-CN"/>
        </w:rPr>
        <w:t>）现场核实鉴定人员要求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参与现场核实、鉴定古树名木死亡应至少有</w:t>
      </w:r>
      <w:r>
        <w:rPr>
          <w:rFonts w:hint="eastAsia" w:ascii="仿宋_GB2312" w:hAnsi="仿宋_GB2312" w:eastAsia="仿宋_GB2312" w:cs="仿宋_GB2312"/>
          <w:sz w:val="32"/>
          <w:szCs w:val="32"/>
          <w:highlight w:val="none"/>
          <w:lang w:val="en-US" w:eastAsia="zh-CN"/>
        </w:rPr>
        <w:t>2名</w:t>
      </w:r>
      <w:r>
        <w:rPr>
          <w:rFonts w:hint="eastAsia" w:ascii="仿宋_GB2312" w:hAnsi="仿宋_GB2312" w:eastAsia="仿宋_GB2312" w:cs="仿宋_GB2312"/>
          <w:sz w:val="32"/>
          <w:szCs w:val="32"/>
          <w:highlight w:val="none"/>
          <w:lang w:eastAsia="zh-CN"/>
        </w:rPr>
        <w:t>专业技术人员</w:t>
      </w:r>
      <w:r>
        <w:rPr>
          <w:rFonts w:hint="eastAsia" w:ascii="仿宋_GB2312" w:hAnsi="仿宋_GB2312" w:eastAsia="仿宋_GB2312" w:cs="仿宋_GB2312"/>
          <w:sz w:val="32"/>
          <w:szCs w:val="32"/>
          <w:highlight w:val="none"/>
          <w:lang w:val="en-US" w:eastAsia="zh-CN"/>
        </w:rPr>
        <w:t>，其中</w:t>
      </w:r>
      <w:r>
        <w:rPr>
          <w:rFonts w:hint="eastAsia" w:ascii="仿宋_GB2312" w:hAnsi="仿宋_GB2312" w:eastAsia="仿宋_GB2312" w:cs="仿宋_GB2312"/>
          <w:sz w:val="32"/>
          <w:szCs w:val="32"/>
          <w:highlight w:val="none"/>
          <w:lang w:eastAsia="zh-CN"/>
        </w:rPr>
        <w:t>应至少</w:t>
      </w:r>
      <w:r>
        <w:rPr>
          <w:rFonts w:hint="eastAsia" w:ascii="仿宋_GB2312" w:hAnsi="仿宋_GB2312" w:eastAsia="仿宋_GB2312" w:cs="仿宋_GB2312"/>
          <w:color w:val="auto"/>
          <w:sz w:val="32"/>
          <w:szCs w:val="32"/>
          <w:highlight w:val="none"/>
          <w:lang w:eastAsia="zh-CN"/>
        </w:rPr>
        <w:t>有</w:t>
      </w:r>
      <w:r>
        <w:rPr>
          <w:rFonts w:hint="eastAsia" w:ascii="仿宋_GB2312" w:hAnsi="仿宋_GB2312" w:eastAsia="仿宋_GB2312" w:cs="仿宋_GB2312"/>
          <w:color w:val="auto"/>
          <w:sz w:val="32"/>
          <w:szCs w:val="32"/>
          <w:highlight w:val="none"/>
          <w:lang w:val="en-US" w:eastAsia="zh-CN"/>
        </w:rPr>
        <w:t>1名在林</w:t>
      </w:r>
      <w:r>
        <w:rPr>
          <w:rFonts w:hint="eastAsia" w:ascii="仿宋_GB2312" w:hAnsi="仿宋_GB2312" w:eastAsia="仿宋_GB2312" w:cs="仿宋_GB2312"/>
          <w:sz w:val="32"/>
          <w:szCs w:val="32"/>
          <w:highlight w:val="none"/>
          <w:lang w:val="en-US" w:eastAsia="zh-CN"/>
        </w:rPr>
        <w:t>业、园林、植保或相关专业领域具有副高级及以上专业技术职务，熟悉</w:t>
      </w:r>
      <w:r>
        <w:rPr>
          <w:rFonts w:hint="eastAsia" w:ascii="仿宋_GB2312" w:hAnsi="仿宋_GB2312" w:eastAsia="仿宋_GB2312" w:cs="仿宋_GB2312"/>
          <w:sz w:val="32"/>
          <w:szCs w:val="32"/>
          <w:highlight w:val="none"/>
          <w:lang w:eastAsia="zh-CN"/>
        </w:rPr>
        <w:t>古树名木生物学特性，具备较</w:t>
      </w:r>
      <w:r>
        <w:rPr>
          <w:rFonts w:hint="eastAsia" w:ascii="仿宋_GB2312" w:hAnsi="仿宋_GB2312" w:eastAsia="仿宋_GB2312" w:cs="仿宋_GB2312"/>
          <w:sz w:val="32"/>
          <w:szCs w:val="32"/>
          <w:highlight w:val="none"/>
          <w:lang w:val="en-US" w:eastAsia="zh-CN"/>
        </w:rPr>
        <w:t>丰富的古树名木保护经验。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（二）古树名木死亡注销管理部门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名木和一、二级古树经鉴定确系已死亡的，由县级林业主管部门向省林业局申请注销；死亡的名木和一、二级古树是否仍具有重要历史、文化、景观、科研等价值和重要纪念意义，由省林业局确认。省林业局认为必要时可组织实地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三级古树经鉴定确系已死亡的，由县级林业主管部门向设区市林业主管部门申请注销；死亡的三级古树是否仍具有重要历史、文化、景观、科研等价值和重要纪念意义，由设区市林业主管部门确认。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（三）名木和一、二级古树申请死亡注销应提交的材料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1.古树名木死亡注销申请报告；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2.古树名木死亡鉴定书（格式见附件）；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3.古树名木死亡鉴定照片（要求见附件）；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4.其他法律、法规、规章规定需要提交的材料。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outlineLvl w:val="9"/>
        <w:rPr>
          <w:rFonts w:hint="eastAsia" w:ascii="楷体_GB2312" w:hAnsi="楷体_GB2312" w:eastAsia="楷体_GB2312" w:cs="楷体_GB2312"/>
          <w:b/>
          <w:bCs/>
          <w:sz w:val="32"/>
          <w:szCs w:val="32"/>
          <w:highlight w:val="none"/>
          <w:lang w:val="en-US" w:eastAsia="zh-CN"/>
        </w:rPr>
      </w:pPr>
      <w:r>
        <w:rPr>
          <w:rFonts w:hint="eastAsia" w:ascii="楷体_GB2312" w:hAnsi="楷体_GB2312" w:eastAsia="楷体_GB2312" w:cs="楷体_GB2312"/>
          <w:b/>
          <w:bCs/>
          <w:sz w:val="32"/>
          <w:szCs w:val="32"/>
          <w:highlight w:val="none"/>
          <w:lang w:val="en-US" w:eastAsia="zh-CN"/>
        </w:rPr>
        <w:t>（四）其他有关要求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zh-CN" w:eastAsia="zh-CN"/>
        </w:rPr>
        <w:t>对经现场核实鉴定或经上级林业主管部门实地核查，未确定已死亡的古树名木，县级林业主管部门应及时组织抢救、复壮。</w:t>
      </w:r>
      <w:r>
        <w:rPr>
          <w:rFonts w:hint="eastAsia" w:ascii="仿宋_GB2312" w:hAnsi="仿宋_GB2312" w:eastAsia="仿宋_GB2312" w:cs="仿宋_GB2312"/>
          <w:sz w:val="32"/>
          <w:szCs w:val="32"/>
          <w:highlight w:val="none"/>
          <w:lang w:eastAsia="zh-CN"/>
        </w:rPr>
        <w:t>经现场核实鉴定，发现人为破坏古树名木行为的，县级林业主管部门应依法组织查处。</w:t>
      </w: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0"/>
          <w:sz w:val="32"/>
          <w:szCs w:val="32"/>
          <w:highlight w:val="none"/>
          <w:lang w:val="en-US" w:eastAsia="zh-CN"/>
        </w:rPr>
        <w:t>死亡的古树名木经注销后申请采伐的，根据其树种、起源、所在地（林地或非林地）由有关部门按有关规定管理。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仿宋_GB2312" w:hAnsi="仿宋_GB2312" w:eastAsia="仿宋_GB2312" w:cs="仿宋_GB2312"/>
          <w:sz w:val="32"/>
          <w:szCs w:val="32"/>
          <w:highlight w:val="none"/>
          <w:lang w:val="zh-CN"/>
        </w:rPr>
      </w:pPr>
      <w:r>
        <w:rPr>
          <w:rFonts w:hint="eastAsia" w:ascii="仿宋_GB2312" w:hAnsi="仿宋_GB2312" w:eastAsia="仿宋_GB2312" w:cs="仿宋_GB2312"/>
          <w:sz w:val="32"/>
          <w:szCs w:val="32"/>
          <w:highlight w:val="none"/>
          <w:lang w:val="zh-CN" w:eastAsia="zh-CN"/>
        </w:rPr>
        <w:t>本通知中的古树名木，指城市规划区外经林业主管部门依法认定和公布的古树名木</w:t>
      </w:r>
      <w:r>
        <w:rPr>
          <w:rFonts w:hint="eastAsia" w:ascii="仿宋_GB2312" w:hAnsi="仿宋_GB2312" w:eastAsia="仿宋_GB2312" w:cs="仿宋_GB2312"/>
          <w:sz w:val="32"/>
          <w:szCs w:val="32"/>
          <w:highlight w:val="none"/>
          <w:lang w:val="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outlineLvl w:val="9"/>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highlight w:val="none"/>
          <w:lang w:val="en-US" w:eastAsia="zh-CN"/>
        </w:rPr>
        <w:t>附件：福建省古树名木死亡鉴定书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highlight w:val="none"/>
          <w:lang w:eastAsia="zh-CN"/>
        </w:rPr>
        <w:sectPr>
          <w:footerReference r:id="rId3" w:type="default"/>
          <w:pgSz w:w="11906" w:h="16838"/>
          <w:pgMar w:top="2098" w:right="1531" w:bottom="1531" w:left="1531"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sz w:val="32"/>
          <w:szCs w:val="32"/>
          <w:highlight w:val="none"/>
          <w:lang w:val="en-US" w:eastAsia="zh-CN"/>
        </w:rPr>
      </w:pPr>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福建省古树名木死亡鉴定书</w:t>
      </w:r>
    </w:p>
    <w:tbl>
      <w:tblPr>
        <w:tblStyle w:val="5"/>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28"/>
        <w:gridCol w:w="359"/>
        <w:gridCol w:w="1458"/>
        <w:gridCol w:w="1002"/>
        <w:gridCol w:w="179"/>
        <w:gridCol w:w="511"/>
        <w:gridCol w:w="779"/>
        <w:gridCol w:w="856"/>
        <w:gridCol w:w="705"/>
        <w:gridCol w:w="375"/>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40" w:hRule="atLeast"/>
        </w:trPr>
        <w:tc>
          <w:tcPr>
            <w:tcW w:w="122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817"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81"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90"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85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80" w:type="dxa"/>
            <w:gridSpan w:val="2"/>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42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古树名木</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编号</w:t>
            </w:r>
          </w:p>
        </w:tc>
        <w:tc>
          <w:tcPr>
            <w:tcW w:w="247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树种</w:t>
            </w: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是否名木</w:t>
            </w:r>
          </w:p>
        </w:tc>
        <w:tc>
          <w:tcPr>
            <w:tcW w:w="247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古树级别</w:t>
            </w: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胸径/地径（CM）</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sz w:val="22"/>
                <w:szCs w:val="22"/>
                <w:highlight w:val="none"/>
                <w:u w:val="none"/>
              </w:rPr>
              <w:t>/</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树高（M）</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树龄(年)</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生长地点</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县（市、区）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乡镇（街道）　</w:t>
            </w: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村（社区）</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小地名</w:t>
            </w: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养护人</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姓名或单位全称</w:t>
            </w:r>
          </w:p>
        </w:tc>
        <w:tc>
          <w:tcPr>
            <w:tcW w:w="582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负责人身份证号</w:t>
            </w:r>
          </w:p>
        </w:tc>
        <w:tc>
          <w:tcPr>
            <w:tcW w:w="33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联系电话</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联系地址</w:t>
            </w:r>
          </w:p>
        </w:tc>
        <w:tc>
          <w:tcPr>
            <w:tcW w:w="33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邮编</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Style w:val="6"/>
                <w:highlight w:val="none"/>
                <w:lang w:val="en-US" w:eastAsia="zh-CN" w:bidi="ar"/>
              </w:rPr>
              <w:t>鉴定组成员　</w:t>
            </w:r>
            <w:r>
              <w:rPr>
                <w:rStyle w:val="7"/>
                <w:highlight w:val="none"/>
                <w:lang w:val="en-US" w:eastAsia="zh-CN" w:bidi="ar"/>
              </w:rPr>
              <w:t>（需至少2名）</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姓名</w:t>
            </w:r>
          </w:p>
        </w:tc>
        <w:tc>
          <w:tcPr>
            <w:tcW w:w="33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工作单位</w:t>
            </w: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行政职务及专业技术职务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3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3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20" w:hRule="atLeast"/>
        </w:trPr>
        <w:tc>
          <w:tcPr>
            <w:tcW w:w="12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332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50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770"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Style w:val="6"/>
                <w:highlight w:val="none"/>
                <w:lang w:val="en-US" w:eastAsia="zh-CN" w:bidi="ar"/>
              </w:rPr>
              <w:t>树木生长状况和“死亡”原因分析</w:t>
            </w:r>
            <w:r>
              <w:rPr>
                <w:rStyle w:val="7"/>
                <w:highlight w:val="none"/>
                <w:lang w:val="en-US" w:eastAsia="zh-CN" w:bidi="ar"/>
              </w:rPr>
              <w:t>（需另附现场鉴定照片）</w:t>
            </w:r>
          </w:p>
        </w:tc>
        <w:tc>
          <w:tcPr>
            <w:tcW w:w="764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1" w:hRule="atLeast"/>
        </w:trPr>
        <w:tc>
          <w:tcPr>
            <w:tcW w:w="122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Style w:val="6"/>
                <w:highlight w:val="none"/>
                <w:lang w:val="en-US" w:eastAsia="zh-CN" w:bidi="ar"/>
              </w:rPr>
              <w:t>鉴定结果　　</w:t>
            </w:r>
            <w:r>
              <w:rPr>
                <w:rStyle w:val="7"/>
                <w:highlight w:val="none"/>
                <w:lang w:val="en-US" w:eastAsia="zh-CN" w:bidi="ar"/>
              </w:rPr>
              <w:t>（勾选）</w:t>
            </w:r>
          </w:p>
        </w:tc>
        <w:tc>
          <w:tcPr>
            <w:tcW w:w="18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1.树木已死亡</w:t>
            </w:r>
          </w:p>
        </w:tc>
        <w:tc>
          <w:tcPr>
            <w:tcW w:w="11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2.树木未死亡</w:t>
            </w:r>
          </w:p>
        </w:tc>
        <w:tc>
          <w:tcPr>
            <w:tcW w:w="8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3.无法鉴定树木是否已死亡</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5" w:hRule="atLeast"/>
        </w:trPr>
        <w:tc>
          <w:tcPr>
            <w:tcW w:w="1228"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FF0000"/>
                <w:kern w:val="0"/>
                <w:sz w:val="22"/>
                <w:szCs w:val="22"/>
                <w:highlight w:val="yellow"/>
                <w:u w:val="none"/>
                <w:lang w:val="en-US" w:eastAsia="zh-CN" w:bidi="ar"/>
              </w:rPr>
            </w:pPr>
            <w:r>
              <w:rPr>
                <w:rStyle w:val="6"/>
                <w:rFonts w:hint="eastAsia"/>
                <w:highlight w:val="none"/>
                <w:lang w:val="en-US" w:eastAsia="zh-CN" w:bidi="ar"/>
              </w:rPr>
              <w:t>鉴定建议　</w:t>
            </w:r>
            <w:r>
              <w:rPr>
                <w:rStyle w:val="6"/>
                <w:highlight w:val="none"/>
                <w:lang w:val="en-US" w:eastAsia="zh-CN" w:bidi="ar"/>
              </w:rPr>
              <w:t>（勾选）</w:t>
            </w:r>
          </w:p>
        </w:tc>
        <w:tc>
          <w:tcPr>
            <w:tcW w:w="5144" w:type="dxa"/>
            <w:gridSpan w:val="7"/>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FF0000"/>
                <w:sz w:val="22"/>
                <w:szCs w:val="22"/>
                <w:highlight w:val="yellow"/>
                <w:u w:val="none"/>
                <w:lang w:eastAsia="zh-CN"/>
              </w:rPr>
            </w:pPr>
            <w:r>
              <w:rPr>
                <w:rFonts w:hint="eastAsia" w:ascii="宋体" w:hAnsi="宋体" w:eastAsia="宋体" w:cs="宋体"/>
                <w:i w:val="0"/>
                <w:color w:val="000000"/>
                <w:kern w:val="0"/>
                <w:sz w:val="22"/>
                <w:szCs w:val="22"/>
                <w:highlight w:val="none"/>
                <w:u w:val="none"/>
                <w:lang w:val="en-US" w:eastAsia="zh-CN" w:bidi="ar"/>
              </w:rPr>
              <w:t>对经鉴定确系已死亡的古树名木，是否认为仍具有重要历史、文化、景观、科研等价值和重要纪念意义，建议不予注销、予以保留。</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是</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75" w:hRule="atLeast"/>
        </w:trPr>
        <w:tc>
          <w:tcPr>
            <w:tcW w:w="1228"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highlight w:val="none"/>
                <w:u w:val="none"/>
                <w:lang w:val="en-US" w:eastAsia="zh-CN" w:bidi="ar"/>
              </w:rPr>
            </w:pPr>
          </w:p>
        </w:tc>
        <w:tc>
          <w:tcPr>
            <w:tcW w:w="5144" w:type="dxa"/>
            <w:gridSpan w:val="7"/>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69"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鉴定组成员签字</w:t>
            </w:r>
          </w:p>
        </w:tc>
        <w:tc>
          <w:tcPr>
            <w:tcW w:w="5144"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鉴定日期</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lang w:val="en-US" w:eastAsia="zh-CN"/>
              </w:rPr>
            </w:pPr>
            <w:r>
              <w:rPr>
                <w:rFonts w:hint="eastAsia" w:ascii="宋体" w:hAnsi="宋体" w:eastAsia="宋体" w:cs="宋体"/>
                <w:i w:val="0"/>
                <w:color w:val="000000"/>
                <w:sz w:val="22"/>
                <w:szCs w:val="22"/>
                <w:highlight w:val="none"/>
                <w:u w:val="none"/>
                <w:lang w:eastAsia="zh-CN"/>
              </w:rPr>
              <w:t>　年</w:t>
            </w:r>
            <w:r>
              <w:rPr>
                <w:rFonts w:hint="eastAsia" w:ascii="宋体" w:hAnsi="宋体" w:eastAsia="宋体" w:cs="宋体"/>
                <w:i w:val="0"/>
                <w:color w:val="000000"/>
                <w:sz w:val="22"/>
                <w:szCs w:val="22"/>
                <w:highlight w:val="none"/>
                <w:u w:val="none"/>
                <w:lang w:val="en-US" w:eastAsia="zh-CN"/>
              </w:rPr>
              <w:t xml:space="preserve">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103"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养护人意见</w:t>
            </w:r>
          </w:p>
        </w:tc>
        <w:tc>
          <w:tcPr>
            <w:tcW w:w="764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br w:type="textWrapping"/>
            </w:r>
          </w:p>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签字或单位公章：</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685"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县级林业主管部门意见</w:t>
            </w:r>
          </w:p>
        </w:tc>
        <w:tc>
          <w:tcPr>
            <w:tcW w:w="764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br w:type="textWrapping"/>
            </w:r>
          </w:p>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主要负责人签字及单位公章：</w:t>
            </w:r>
            <w:r>
              <w:rPr>
                <w:rFonts w:hint="eastAsia" w:ascii="宋体" w:hAnsi="宋体" w:eastAsia="宋体" w:cs="宋体"/>
                <w:i w:val="0"/>
                <w:color w:val="000000"/>
                <w:kern w:val="0"/>
                <w:sz w:val="22"/>
                <w:szCs w:val="22"/>
                <w:highlight w:val="none"/>
                <w:u w:val="none"/>
                <w:lang w:val="en-US" w:eastAsia="zh-CN" w:bidi="ar"/>
              </w:rPr>
              <w:br w:type="textWrapping"/>
            </w:r>
            <w:r>
              <w:rPr>
                <w:rFonts w:hint="eastAsia" w:ascii="宋体" w:hAnsi="宋体" w:eastAsia="宋体" w:cs="宋体"/>
                <w:i w:val="0"/>
                <w:color w:val="000000"/>
                <w:kern w:val="0"/>
                <w:sz w:val="22"/>
                <w:szCs w:val="22"/>
                <w:highlight w:val="none"/>
                <w:u w:val="none"/>
                <w:lang w:val="en-US" w:eastAsia="zh-CN" w:bidi="ar"/>
              </w:rPr>
              <w:t>　　　　　　　　　　　　　　　　　　　　　　　　　年　　月　　日</w:t>
            </w:r>
          </w:p>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580" w:hRule="atLeast"/>
        </w:trPr>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highlight w:val="none"/>
                <w:u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省级林业主管部门意见</w:t>
            </w:r>
          </w:p>
        </w:tc>
        <w:tc>
          <w:tcPr>
            <w:tcW w:w="7646"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4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 xml:space="preserve">　                   </w:t>
            </w:r>
          </w:p>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　　　　　　　　　</w:t>
            </w:r>
          </w:p>
          <w:p>
            <w:pPr>
              <w:keepNext w:val="0"/>
              <w:keepLines w:val="0"/>
              <w:widowControl/>
              <w:suppressLineNumbers w:val="0"/>
              <w:jc w:val="center"/>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 xml:space="preserve"> 单位公章：</w:t>
            </w:r>
          </w:p>
          <w:p>
            <w:pPr>
              <w:keepNext w:val="0"/>
              <w:keepLines w:val="0"/>
              <w:widowControl/>
              <w:suppressLineNumbers w:val="0"/>
              <w:ind w:left="5940" w:hanging="5940" w:hangingChars="2700"/>
              <w:jc w:val="both"/>
              <w:textAlignment w:val="center"/>
              <w:rPr>
                <w:rFonts w:hint="eastAsia" w:ascii="宋体" w:hAnsi="宋体" w:eastAsia="宋体" w:cs="宋体"/>
                <w:i w:val="0"/>
                <w:color w:val="000000"/>
                <w:kern w:val="0"/>
                <w:sz w:val="22"/>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0" w:hRule="atLeast"/>
        </w:trPr>
        <w:tc>
          <w:tcPr>
            <w:tcW w:w="8874"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
              </w:rPr>
            </w:pPr>
          </w:p>
          <w:p>
            <w:pPr>
              <w:keepNext w:val="0"/>
              <w:keepLines w:val="0"/>
              <w:widowControl/>
              <w:suppressLineNumbers w:val="0"/>
              <w:jc w:val="both"/>
              <w:textAlignment w:val="center"/>
              <w:rPr>
                <w:rFonts w:hint="eastAsia" w:asciiTheme="minorEastAsia" w:hAnsiTheme="minorEastAsia" w:eastAsiaTheme="minorEastAsia" w:cstheme="minorEastAsia"/>
                <w:b w:val="0"/>
                <w:bCs w:val="0"/>
                <w:i w:val="0"/>
                <w:color w:val="000000"/>
                <w:kern w:val="0"/>
                <w:sz w:val="22"/>
                <w:szCs w:val="22"/>
                <w:highlight w:val="none"/>
                <w:u w:val="none"/>
                <w:lang w:val="en-US" w:eastAsia="zh-CN" w:bidi="ar"/>
              </w:rPr>
            </w:pPr>
            <w:r>
              <w:rPr>
                <w:rFonts w:hint="eastAsia" w:asciiTheme="minorEastAsia" w:hAnsiTheme="minorEastAsia" w:eastAsiaTheme="minorEastAsia" w:cstheme="minorEastAsia"/>
                <w:b w:val="0"/>
                <w:bCs w:val="0"/>
                <w:i w:val="0"/>
                <w:color w:val="000000"/>
                <w:kern w:val="0"/>
                <w:sz w:val="22"/>
                <w:szCs w:val="22"/>
                <w:highlight w:val="none"/>
                <w:u w:val="none"/>
                <w:lang w:val="en-US" w:eastAsia="zh-CN" w:bidi="ar"/>
              </w:rPr>
              <w:t>备注：1.本表一式二份，县级林业主管部门、省级林业主管部门各一份。</w:t>
            </w:r>
          </w:p>
          <w:p>
            <w:pPr>
              <w:keepNext w:val="0"/>
              <w:keepLines w:val="0"/>
              <w:widowControl/>
              <w:suppressLineNumbers w:val="0"/>
              <w:ind w:firstLine="660" w:firstLineChars="300"/>
              <w:jc w:val="both"/>
              <w:textAlignment w:val="center"/>
              <w:rPr>
                <w:rFonts w:hint="eastAsia" w:asciiTheme="minorEastAsia" w:hAnsiTheme="minorEastAsia" w:eastAsiaTheme="minorEastAsia" w:cstheme="minorEastAsia"/>
                <w:b w:val="0"/>
                <w:bCs w:val="0"/>
                <w:i w:val="0"/>
                <w:color w:val="000000"/>
                <w:kern w:val="0"/>
                <w:sz w:val="22"/>
                <w:szCs w:val="22"/>
                <w:highlight w:val="none"/>
                <w:u w:val="none"/>
                <w:lang w:val="en-US" w:eastAsia="zh-CN" w:bidi="ar"/>
              </w:rPr>
            </w:pPr>
            <w:r>
              <w:rPr>
                <w:rFonts w:hint="eastAsia" w:asciiTheme="minorEastAsia" w:hAnsiTheme="minorEastAsia" w:cstheme="minorEastAsia"/>
                <w:b w:val="0"/>
                <w:bCs w:val="0"/>
                <w:i w:val="0"/>
                <w:color w:val="000000"/>
                <w:kern w:val="0"/>
                <w:sz w:val="22"/>
                <w:szCs w:val="22"/>
                <w:highlight w:val="none"/>
                <w:u w:val="none"/>
                <w:lang w:val="en-US" w:eastAsia="zh-CN" w:bidi="ar"/>
              </w:rPr>
              <w:t>2.</w:t>
            </w:r>
            <w:r>
              <w:rPr>
                <w:rFonts w:hint="eastAsia" w:asciiTheme="minorEastAsia" w:hAnsiTheme="minorEastAsia" w:eastAsiaTheme="minorEastAsia" w:cstheme="minorEastAsia"/>
                <w:b w:val="0"/>
                <w:bCs w:val="0"/>
                <w:i w:val="0"/>
                <w:color w:val="000000"/>
                <w:kern w:val="0"/>
                <w:sz w:val="22"/>
                <w:szCs w:val="22"/>
                <w:highlight w:val="none"/>
                <w:u w:val="none"/>
                <w:lang w:val="en-US" w:eastAsia="zh-CN" w:bidi="ar"/>
              </w:rPr>
              <w:t>“古树名木”栏应根据全省古树名木数据库建档信息填报。</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36"/>
                <w:szCs w:val="36"/>
                <w:highlight w:val="none"/>
                <w:u w:val="none"/>
                <w:lang w:val="en-US" w:eastAsia="zh-CN" w:bidi="ar"/>
              </w:rPr>
            </w:pPr>
            <w:r>
              <w:rPr>
                <w:rFonts w:hint="eastAsia" w:ascii="方正小标宋简体" w:hAnsi="方正小标宋简体" w:eastAsia="方正小标宋简体" w:cs="方正小标宋简体"/>
                <w:i w:val="0"/>
                <w:color w:val="000000"/>
                <w:kern w:val="0"/>
                <w:sz w:val="36"/>
                <w:szCs w:val="36"/>
                <w:highlight w:val="none"/>
                <w:u w:val="none"/>
                <w:lang w:val="en-US" w:eastAsia="zh-CN" w:bidi="ar"/>
              </w:rPr>
              <w:t>福建省古树名木死亡鉴定书附件（照片）</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2"/>
                <w:szCs w:val="2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40" w:hRule="atLeast"/>
        </w:trPr>
        <w:tc>
          <w:tcPr>
            <w:tcW w:w="1587"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古树名木编号</w:t>
            </w:r>
          </w:p>
        </w:tc>
        <w:tc>
          <w:tcPr>
            <w:tcW w:w="2460"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c>
          <w:tcPr>
            <w:tcW w:w="690"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树种</w:t>
            </w:r>
          </w:p>
        </w:tc>
        <w:tc>
          <w:tcPr>
            <w:tcW w:w="1635"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p>
        </w:tc>
        <w:tc>
          <w:tcPr>
            <w:tcW w:w="70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2"/>
                <w:szCs w:val="22"/>
                <w:highlight w:val="yellow"/>
                <w:u w:val="none"/>
                <w:lang w:eastAsia="zh-CN"/>
              </w:rPr>
            </w:pPr>
            <w:r>
              <w:rPr>
                <w:rFonts w:hint="eastAsia" w:ascii="宋体" w:hAnsi="宋体" w:eastAsia="宋体" w:cs="宋体"/>
                <w:b/>
                <w:i w:val="0"/>
                <w:color w:val="000000"/>
                <w:kern w:val="0"/>
                <w:sz w:val="22"/>
                <w:szCs w:val="22"/>
                <w:highlight w:val="none"/>
                <w:u w:val="none"/>
                <w:lang w:val="en-US" w:eastAsia="zh-CN" w:bidi="ar"/>
              </w:rPr>
              <w:t>拍摄人</w:t>
            </w:r>
          </w:p>
        </w:tc>
        <w:tc>
          <w:tcPr>
            <w:tcW w:w="1797"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FF0000"/>
                <w:sz w:val="22"/>
                <w:szCs w:val="22"/>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595" w:hRule="atLeast"/>
        </w:trPr>
        <w:tc>
          <w:tcPr>
            <w:tcW w:w="8874" w:type="dxa"/>
            <w:gridSpan w:val="11"/>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33" w:hRule="atLeast"/>
        </w:trPr>
        <w:tc>
          <w:tcPr>
            <w:tcW w:w="8874"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8874" w:type="dxa"/>
            <w:gridSpan w:val="11"/>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9"/>
                <w:rFonts w:hint="eastAsia"/>
                <w:highlight w:val="none"/>
                <w:lang w:val="en-US" w:eastAsia="zh-CN" w:bidi="ar"/>
              </w:rPr>
            </w:pPr>
            <w:r>
              <w:rPr>
                <w:rFonts w:hint="eastAsia" w:ascii="宋体" w:hAnsi="宋体" w:eastAsia="宋体" w:cs="宋体"/>
                <w:b/>
                <w:i w:val="0"/>
                <w:color w:val="000000"/>
                <w:kern w:val="0"/>
                <w:sz w:val="22"/>
                <w:szCs w:val="22"/>
                <w:highlight w:val="none"/>
                <w:u w:val="none"/>
                <w:lang w:val="en-US" w:eastAsia="zh-CN" w:bidi="ar"/>
              </w:rPr>
              <w:t>　</w:t>
            </w:r>
            <w:r>
              <w:rPr>
                <w:rStyle w:val="8"/>
                <w:rFonts w:hAnsi="宋体"/>
                <w:highlight w:val="none"/>
                <w:lang w:val="en-US" w:eastAsia="zh-CN" w:bidi="ar"/>
              </w:rPr>
              <w:t>　</w:t>
            </w:r>
            <w:r>
              <w:rPr>
                <w:rFonts w:hint="eastAsia" w:ascii="宋体" w:hAnsi="宋体" w:eastAsia="宋体" w:cs="宋体"/>
                <w:b/>
                <w:i w:val="0"/>
                <w:color w:val="000000"/>
                <w:kern w:val="0"/>
                <w:sz w:val="24"/>
                <w:szCs w:val="24"/>
                <w:highlight w:val="none"/>
                <w:u w:val="none"/>
                <w:lang w:val="en-US" w:eastAsia="zh-CN" w:bidi="ar"/>
              </w:rPr>
              <w:br w:type="textWrapping"/>
            </w:r>
            <w:r>
              <w:rPr>
                <w:rFonts w:hint="eastAsia" w:ascii="宋体" w:hAnsi="宋体" w:eastAsia="宋体" w:cs="宋体"/>
                <w:b/>
                <w:i w:val="0"/>
                <w:color w:val="000000"/>
                <w:kern w:val="0"/>
                <w:sz w:val="24"/>
                <w:szCs w:val="24"/>
                <w:highlight w:val="none"/>
                <w:u w:val="none"/>
                <w:lang w:val="en-US" w:eastAsia="zh-CN" w:bidi="ar"/>
              </w:rPr>
              <w:t>　　本单位保证以上照片内容确系所鉴定古树名木的真实状况。</w:t>
            </w:r>
            <w:r>
              <w:rPr>
                <w:rFonts w:hint="eastAsia" w:ascii="宋体" w:hAnsi="宋体" w:eastAsia="宋体" w:cs="宋体"/>
                <w:b/>
                <w:i w:val="0"/>
                <w:color w:val="000000"/>
                <w:kern w:val="0"/>
                <w:sz w:val="24"/>
                <w:szCs w:val="24"/>
                <w:highlight w:val="none"/>
                <w:u w:val="none"/>
                <w:lang w:val="en-US" w:eastAsia="zh-CN" w:bidi="ar"/>
              </w:rPr>
              <w:br w:type="textWrapping"/>
            </w:r>
            <w:r>
              <w:rPr>
                <w:rFonts w:hint="eastAsia" w:ascii="宋体" w:hAnsi="宋体" w:eastAsia="宋体" w:cs="宋体"/>
                <w:b/>
                <w:i w:val="0"/>
                <w:color w:val="000000"/>
                <w:kern w:val="0"/>
                <w:sz w:val="22"/>
                <w:szCs w:val="22"/>
                <w:highlight w:val="none"/>
                <w:u w:val="none"/>
                <w:lang w:val="en-US" w:eastAsia="zh-CN" w:bidi="ar"/>
              </w:rPr>
              <w:br w:type="textWrapping"/>
            </w:r>
            <w:r>
              <w:rPr>
                <w:rFonts w:hint="eastAsia" w:ascii="宋体" w:hAnsi="宋体" w:eastAsia="宋体" w:cs="宋体"/>
                <w:b/>
                <w:i w:val="0"/>
                <w:color w:val="000000"/>
                <w:kern w:val="0"/>
                <w:sz w:val="22"/>
                <w:szCs w:val="22"/>
                <w:highlight w:val="none"/>
                <w:u w:val="none"/>
                <w:lang w:val="en-US" w:eastAsia="zh-CN" w:bidi="ar"/>
              </w:rPr>
              <w:t>　　　　　　　　　　　　　　　　　</w:t>
            </w:r>
            <w:r>
              <w:rPr>
                <w:rStyle w:val="9"/>
                <w:highlight w:val="none"/>
                <w:lang w:val="en-US" w:eastAsia="zh-CN" w:bidi="ar"/>
              </w:rPr>
              <w:t>县级林业主管部门公章：</w:t>
            </w:r>
            <w:r>
              <w:rPr>
                <w:rStyle w:val="9"/>
                <w:highlight w:val="none"/>
                <w:lang w:val="en-US" w:eastAsia="zh-CN" w:bidi="ar"/>
              </w:rPr>
              <w:br w:type="textWrapping"/>
            </w:r>
            <w:r>
              <w:rPr>
                <w:rStyle w:val="9"/>
                <w:highlight w:val="none"/>
                <w:lang w:val="en-US" w:eastAsia="zh-CN" w:bidi="ar"/>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20" w:hRule="atLeast"/>
        </w:trPr>
        <w:tc>
          <w:tcPr>
            <w:tcW w:w="8874"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备注：1.需至少提供2张现场鉴定时拍摄的能如实、清晰、有效展示古树名木树体和生境局部、整体现状的彩色数码照片；2.以上贴附的照片应是所拍摄原图长宽比例保持不变的照片。</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highlight w:val="none"/>
          <w:lang w:val="zh-CN" w:eastAsia="zh-CN"/>
        </w:rPr>
      </w:pPr>
    </w:p>
    <w:sectPr>
      <w:pgSz w:w="11906" w:h="16838"/>
      <w:pgMar w:top="2098"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80111E"/>
    <w:rsid w:val="01B72934"/>
    <w:rsid w:val="01FF0CC6"/>
    <w:rsid w:val="035D6F59"/>
    <w:rsid w:val="03F6763B"/>
    <w:rsid w:val="041C1DD7"/>
    <w:rsid w:val="06357970"/>
    <w:rsid w:val="063F509F"/>
    <w:rsid w:val="07514E78"/>
    <w:rsid w:val="08B50F20"/>
    <w:rsid w:val="08EE7CB7"/>
    <w:rsid w:val="09DD3A41"/>
    <w:rsid w:val="0AA024A9"/>
    <w:rsid w:val="0AB4542F"/>
    <w:rsid w:val="0D3C2D8E"/>
    <w:rsid w:val="0D8F1051"/>
    <w:rsid w:val="0DB1505E"/>
    <w:rsid w:val="0E850207"/>
    <w:rsid w:val="0F03709D"/>
    <w:rsid w:val="104A5387"/>
    <w:rsid w:val="115E060C"/>
    <w:rsid w:val="11A0145D"/>
    <w:rsid w:val="11FD20B4"/>
    <w:rsid w:val="127B2A84"/>
    <w:rsid w:val="12801D5F"/>
    <w:rsid w:val="15DB4FE5"/>
    <w:rsid w:val="15F32DA9"/>
    <w:rsid w:val="16BF55B3"/>
    <w:rsid w:val="16CC1987"/>
    <w:rsid w:val="185F34BC"/>
    <w:rsid w:val="18732039"/>
    <w:rsid w:val="1ABA1905"/>
    <w:rsid w:val="1AC8572B"/>
    <w:rsid w:val="1C712C8A"/>
    <w:rsid w:val="1C967DD1"/>
    <w:rsid w:val="2004166A"/>
    <w:rsid w:val="20E86E48"/>
    <w:rsid w:val="21274D21"/>
    <w:rsid w:val="22F722E3"/>
    <w:rsid w:val="234611D5"/>
    <w:rsid w:val="24FE2757"/>
    <w:rsid w:val="25355540"/>
    <w:rsid w:val="25C25BD8"/>
    <w:rsid w:val="266A6BFF"/>
    <w:rsid w:val="271B662C"/>
    <w:rsid w:val="27B8436D"/>
    <w:rsid w:val="28942232"/>
    <w:rsid w:val="29487320"/>
    <w:rsid w:val="29D7606C"/>
    <w:rsid w:val="2A592DEB"/>
    <w:rsid w:val="2C882C01"/>
    <w:rsid w:val="2CC7241C"/>
    <w:rsid w:val="2D253295"/>
    <w:rsid w:val="2DBA1EFD"/>
    <w:rsid w:val="2E977BD3"/>
    <w:rsid w:val="2EA02CA5"/>
    <w:rsid w:val="2FC60D90"/>
    <w:rsid w:val="30DE5F29"/>
    <w:rsid w:val="32791FE0"/>
    <w:rsid w:val="332D2AAA"/>
    <w:rsid w:val="33FF2C12"/>
    <w:rsid w:val="375341A6"/>
    <w:rsid w:val="38054300"/>
    <w:rsid w:val="38386D14"/>
    <w:rsid w:val="392C0CBE"/>
    <w:rsid w:val="3948503A"/>
    <w:rsid w:val="398F7951"/>
    <w:rsid w:val="39967AB2"/>
    <w:rsid w:val="39B937B9"/>
    <w:rsid w:val="3BD2273A"/>
    <w:rsid w:val="3C470ED2"/>
    <w:rsid w:val="3CA4737E"/>
    <w:rsid w:val="3D2B3D91"/>
    <w:rsid w:val="3E790127"/>
    <w:rsid w:val="3EC76F65"/>
    <w:rsid w:val="4085752C"/>
    <w:rsid w:val="40AB0F2B"/>
    <w:rsid w:val="40E10653"/>
    <w:rsid w:val="42B777A0"/>
    <w:rsid w:val="430B35F3"/>
    <w:rsid w:val="43D02C3F"/>
    <w:rsid w:val="446B5CB8"/>
    <w:rsid w:val="45020CE9"/>
    <w:rsid w:val="456C659A"/>
    <w:rsid w:val="45C61ECE"/>
    <w:rsid w:val="4605194B"/>
    <w:rsid w:val="46B41FC9"/>
    <w:rsid w:val="47126A34"/>
    <w:rsid w:val="471E4D3E"/>
    <w:rsid w:val="48813FF6"/>
    <w:rsid w:val="498E1E00"/>
    <w:rsid w:val="49BF178F"/>
    <w:rsid w:val="4B2443B8"/>
    <w:rsid w:val="4B2616D1"/>
    <w:rsid w:val="4B9C7AD9"/>
    <w:rsid w:val="4BF15428"/>
    <w:rsid w:val="4E215B6D"/>
    <w:rsid w:val="512F7BB4"/>
    <w:rsid w:val="5146188E"/>
    <w:rsid w:val="51803D5E"/>
    <w:rsid w:val="520B4E1B"/>
    <w:rsid w:val="52942277"/>
    <w:rsid w:val="52B97573"/>
    <w:rsid w:val="53345658"/>
    <w:rsid w:val="537B675C"/>
    <w:rsid w:val="54623E63"/>
    <w:rsid w:val="56055828"/>
    <w:rsid w:val="56123027"/>
    <w:rsid w:val="562B0513"/>
    <w:rsid w:val="56502028"/>
    <w:rsid w:val="56AE76A1"/>
    <w:rsid w:val="58CC5918"/>
    <w:rsid w:val="593F6E9E"/>
    <w:rsid w:val="5A5A13E5"/>
    <w:rsid w:val="5D630FD0"/>
    <w:rsid w:val="5E1F2D0C"/>
    <w:rsid w:val="5F7A16A0"/>
    <w:rsid w:val="60750532"/>
    <w:rsid w:val="60790617"/>
    <w:rsid w:val="60AF5E75"/>
    <w:rsid w:val="61ED1991"/>
    <w:rsid w:val="6236341A"/>
    <w:rsid w:val="62F23733"/>
    <w:rsid w:val="63CB3DE9"/>
    <w:rsid w:val="64D75484"/>
    <w:rsid w:val="66DF312A"/>
    <w:rsid w:val="695577E6"/>
    <w:rsid w:val="6A2D53AF"/>
    <w:rsid w:val="6A611943"/>
    <w:rsid w:val="6C1D335A"/>
    <w:rsid w:val="6D8543CA"/>
    <w:rsid w:val="6E1539C6"/>
    <w:rsid w:val="6E410279"/>
    <w:rsid w:val="6E784725"/>
    <w:rsid w:val="6F2A4DD9"/>
    <w:rsid w:val="6FE81022"/>
    <w:rsid w:val="710E6C12"/>
    <w:rsid w:val="71B668DC"/>
    <w:rsid w:val="71C83B36"/>
    <w:rsid w:val="72BA67CF"/>
    <w:rsid w:val="742E5420"/>
    <w:rsid w:val="751142A8"/>
    <w:rsid w:val="758A2E46"/>
    <w:rsid w:val="75FF56C5"/>
    <w:rsid w:val="76064D2A"/>
    <w:rsid w:val="76A339D5"/>
    <w:rsid w:val="76BD03FB"/>
    <w:rsid w:val="778B5482"/>
    <w:rsid w:val="77B75CB2"/>
    <w:rsid w:val="79FF2AFB"/>
    <w:rsid w:val="7A481105"/>
    <w:rsid w:val="7A697644"/>
    <w:rsid w:val="7BF97CD8"/>
    <w:rsid w:val="7C502072"/>
    <w:rsid w:val="7CF077A7"/>
    <w:rsid w:val="7FF8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01"/>
    <w:basedOn w:val="4"/>
    <w:qFormat/>
    <w:uiPriority w:val="0"/>
    <w:rPr>
      <w:rFonts w:hint="eastAsia" w:ascii="宋体" w:hAnsi="宋体" w:eastAsia="宋体" w:cs="宋体"/>
      <w:b/>
      <w:color w:val="000000"/>
      <w:sz w:val="22"/>
      <w:szCs w:val="22"/>
      <w:u w:val="none"/>
    </w:rPr>
  </w:style>
  <w:style w:type="character" w:customStyle="1" w:styleId="7">
    <w:name w:val="font31"/>
    <w:basedOn w:val="4"/>
    <w:qFormat/>
    <w:uiPriority w:val="0"/>
    <w:rPr>
      <w:rFonts w:hint="eastAsia" w:ascii="宋体" w:hAnsi="宋体" w:eastAsia="宋体" w:cs="宋体"/>
      <w:b/>
      <w:color w:val="000000"/>
      <w:sz w:val="20"/>
      <w:szCs w:val="20"/>
      <w:u w:val="none"/>
    </w:rPr>
  </w:style>
  <w:style w:type="character" w:customStyle="1" w:styleId="8">
    <w:name w:val="font51"/>
    <w:basedOn w:val="4"/>
    <w:qFormat/>
    <w:uiPriority w:val="0"/>
    <w:rPr>
      <w:rFonts w:ascii="楷体_GB2312" w:eastAsia="楷体_GB2312" w:cs="楷体_GB2312"/>
      <w:b/>
      <w:color w:val="000000"/>
      <w:sz w:val="24"/>
      <w:szCs w:val="24"/>
      <w:u w:val="none"/>
    </w:rPr>
  </w:style>
  <w:style w:type="character" w:customStyle="1" w:styleId="9">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刘方林</cp:lastModifiedBy>
  <cp:lastPrinted>2021-08-16T07:59:00Z</cp:lastPrinted>
  <dcterms:modified xsi:type="dcterms:W3CDTF">2021-09-07T09:10:24Z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